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62CD08" w14:textId="030F3CE0" w:rsidR="005D467E" w:rsidRDefault="005345C9" w:rsidP="00496D78">
      <w:pPr>
        <w:spacing w:after="0"/>
        <w:rPr>
          <w:color w:val="2F5496" w:themeColor="accent1" w:themeShade="BF"/>
          <w:sz w:val="18"/>
          <w:szCs w:val="18"/>
        </w:rPr>
      </w:pPr>
      <w:r w:rsidRPr="00444233">
        <w:rPr>
          <w:noProof/>
          <w:sz w:val="18"/>
          <w:szCs w:val="18"/>
        </w:rPr>
        <mc:AlternateContent>
          <mc:Choice Requires="wps">
            <w:drawing>
              <wp:anchor distT="45720" distB="45720" distL="114300" distR="114300" simplePos="0" relativeHeight="251659264" behindDoc="0" locked="0" layoutInCell="1" allowOverlap="1" wp14:anchorId="7747D299" wp14:editId="00854CEE">
                <wp:simplePos x="0" y="0"/>
                <wp:positionH relativeFrom="column">
                  <wp:posOffset>5092700</wp:posOffset>
                </wp:positionH>
                <wp:positionV relativeFrom="paragraph">
                  <wp:posOffset>0</wp:posOffset>
                </wp:positionV>
                <wp:extent cx="901700" cy="9334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0" cy="933450"/>
                        </a:xfrm>
                        <a:prstGeom prst="rect">
                          <a:avLst/>
                        </a:prstGeom>
                        <a:solidFill>
                          <a:srgbClr val="FFFFFF"/>
                        </a:solidFill>
                        <a:ln w="9525">
                          <a:noFill/>
                          <a:miter lim="800000"/>
                          <a:headEnd/>
                          <a:tailEnd/>
                        </a:ln>
                      </wps:spPr>
                      <wps:txbx>
                        <w:txbxContent>
                          <w:p w14:paraId="2F595FFE" w14:textId="6A042801" w:rsidR="00444233" w:rsidRDefault="00154392">
                            <w:r>
                              <w:rPr>
                                <w:i/>
                                <w:iCs/>
                                <w:smallCaps/>
                                <w:noProof/>
                                <w:color w:val="00B0F0"/>
                                <w:sz w:val="18"/>
                                <w:szCs w:val="18"/>
                              </w:rPr>
                              <w:drawing>
                                <wp:inline distT="0" distB="0" distL="0" distR="0" wp14:anchorId="3C7FADBE" wp14:editId="6DD847DF">
                                  <wp:extent cx="719784" cy="768350"/>
                                  <wp:effectExtent l="0" t="0" r="4445" b="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HHS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34718" cy="784291"/>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47D299" id="_x0000_t202" coordsize="21600,21600" o:spt="202" path="m,l,21600r21600,l21600,xe">
                <v:stroke joinstyle="miter"/>
                <v:path gradientshapeok="t" o:connecttype="rect"/>
              </v:shapetype>
              <v:shape id="Text Box 2" o:spid="_x0000_s1026" type="#_x0000_t202" style="position:absolute;margin-left:401pt;margin-top:0;width:71pt;height:7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" stroked="f">
                <v:textbox>
                  <w:txbxContent>
                    <w:p w14:paraId="2F595FFE" w14:textId="6A042801" w:rsidR="00444233" w:rsidRDefault="00154392">
                      <w:r>
                        <w:rPr>
                          <w:i/>
                          <w:iCs/>
                          <w:smallCaps/>
                          <w:noProof/>
                          <w:color w:val="00B0F0"/>
                          <w:sz w:val="18"/>
                          <w:szCs w:val="18"/>
                        </w:rPr>
                        <w:drawing>
                          <wp:inline distT="0" distB="0" distL="0" distR="0" wp14:anchorId="3C7FADBE" wp14:editId="6DD847DF">
                            <wp:extent cx="719784" cy="768350"/>
                            <wp:effectExtent l="0" t="0" r="4445" b="0"/>
                            <wp:docPr id="3" name="Picture 3" descr="DHH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HHS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4718" cy="784291"/>
                                    </a:xfrm>
                                    <a:prstGeom prst="rect">
                                      <a:avLst/>
                                    </a:prstGeom>
                                  </pic:spPr>
                                </pic:pic>
                              </a:graphicData>
                            </a:graphic>
                          </wp:inline>
                        </w:drawing>
                      </w:r>
                    </w:p>
                  </w:txbxContent>
                </v:textbox>
                <w10:wrap type="square"/>
              </v:shape>
            </w:pict>
          </mc:Fallback>
        </mc:AlternateContent>
      </w:r>
    </w:p>
    <w:p w14:paraId="40471840" w14:textId="277E6023" w:rsidR="0041663B" w:rsidRPr="00493EDB" w:rsidRDefault="00780ADA" w:rsidP="00515CFF">
      <w:pPr>
        <w:spacing w:after="0"/>
        <w:jc w:val="center"/>
        <w:rPr>
          <w:rFonts w:cs="Times New Roman (Body CS)"/>
          <w:color w:val="1C4F94"/>
          <w:spacing w:val="-10"/>
          <w:sz w:val="18"/>
          <w:szCs w:val="18"/>
        </w:rPr>
      </w:pPr>
      <w:r>
        <w:rPr>
          <w:rFonts w:cs="Times New Roman (Body CS)"/>
          <w:color w:val="1C4F94"/>
          <w:spacing w:val="-10"/>
          <w:sz w:val="18"/>
          <w:szCs w:val="18"/>
        </w:rPr>
        <w:t>Joe Lombardo</w:t>
      </w:r>
    </w:p>
    <w:p w14:paraId="5DD2CE64" w14:textId="641C014A" w:rsidR="0041663B" w:rsidRPr="00493EDB" w:rsidRDefault="0041663B" w:rsidP="00515CFF">
      <w:pPr>
        <w:spacing w:after="240"/>
        <w:jc w:val="center"/>
        <w:rPr>
          <w:rFonts w:cs="Times New Roman (Body CS)"/>
          <w:i/>
          <w:iCs/>
          <w:color w:val="1C4F94"/>
          <w:spacing w:val="-10"/>
          <w:sz w:val="18"/>
          <w:szCs w:val="18"/>
        </w:rPr>
      </w:pPr>
      <w:r w:rsidRPr="00493EDB">
        <w:rPr>
          <w:rFonts w:cs="Times New Roman (Body CS)"/>
          <w:i/>
          <w:iCs/>
          <w:color w:val="1C4F94"/>
          <w:spacing w:val="-10"/>
          <w:sz w:val="18"/>
          <w:szCs w:val="18"/>
        </w:rPr>
        <w:t>Governor</w:t>
      </w:r>
    </w:p>
    <w:p w14:paraId="216A6ACC" w14:textId="745C694E" w:rsidR="003C73B9" w:rsidRPr="00493EDB" w:rsidRDefault="003C73B9" w:rsidP="00515CFF">
      <w:pPr>
        <w:spacing w:after="0"/>
        <w:jc w:val="center"/>
        <w:rPr>
          <w:rFonts w:cs="Times New Roman (Body CS)"/>
          <w:color w:val="1C4F94"/>
          <w:spacing w:val="-10"/>
          <w:sz w:val="18"/>
          <w:szCs w:val="18"/>
        </w:rPr>
      </w:pPr>
      <w:r w:rsidRPr="00493EDB">
        <w:rPr>
          <w:rFonts w:cs="Times New Roman (Body CS)"/>
          <w:color w:val="1C4F94"/>
          <w:spacing w:val="-10"/>
          <w:sz w:val="18"/>
          <w:szCs w:val="18"/>
        </w:rPr>
        <w:t>Richard Whitley, MS</w:t>
      </w:r>
    </w:p>
    <w:p w14:paraId="7A35DD21" w14:textId="38A5803A" w:rsidR="003C73B9" w:rsidRPr="00493EDB" w:rsidRDefault="003C73B9" w:rsidP="00515CFF">
      <w:pPr>
        <w:spacing w:after="0"/>
        <w:jc w:val="center"/>
        <w:rPr>
          <w:rFonts w:cs="Times New Roman (Body CS)"/>
          <w:i/>
          <w:iCs/>
          <w:color w:val="1C4F94"/>
          <w:spacing w:val="-10"/>
          <w:sz w:val="18"/>
          <w:szCs w:val="18"/>
        </w:rPr>
      </w:pPr>
      <w:r w:rsidRPr="00493EDB">
        <w:rPr>
          <w:rFonts w:cs="Times New Roman (Body CS)"/>
          <w:i/>
          <w:iCs/>
          <w:color w:val="1C4F94"/>
          <w:spacing w:val="-10"/>
          <w:sz w:val="18"/>
          <w:szCs w:val="18"/>
        </w:rPr>
        <w:t>Director</w:t>
      </w:r>
    </w:p>
    <w:p w14:paraId="6872852B" w14:textId="6B902C25" w:rsidR="0041663B" w:rsidRDefault="00A708C2" w:rsidP="00A948D2">
      <w:pPr>
        <w:spacing w:after="0"/>
        <w:ind w:left="236" w:hanging="416"/>
        <w:jc w:val="center"/>
        <w:rPr>
          <w:sz w:val="18"/>
          <w:szCs w:val="18"/>
        </w:rPr>
      </w:pPr>
      <w:r>
        <w:rPr>
          <w:noProof/>
          <w:sz w:val="18"/>
          <w:szCs w:val="18"/>
        </w:rPr>
        <mc:AlternateContent>
          <mc:Choice Requires="wps">
            <w:drawing>
              <wp:anchor distT="0" distB="0" distL="114300" distR="114300" simplePos="0" relativeHeight="251660288" behindDoc="0" locked="0" layoutInCell="1" allowOverlap="1" wp14:anchorId="14FA8865" wp14:editId="3B1458FE">
                <wp:simplePos x="0" y="0"/>
                <wp:positionH relativeFrom="column">
                  <wp:posOffset>0</wp:posOffset>
                </wp:positionH>
                <wp:positionV relativeFrom="paragraph">
                  <wp:posOffset>599440</wp:posOffset>
                </wp:positionV>
                <wp:extent cx="6851650" cy="25400"/>
                <wp:effectExtent l="0" t="0" r="25400" b="31750"/>
                <wp:wrapNone/>
                <wp:docPr id="4" name="Straight Connector 4"/>
                <wp:cNvGraphicFramePr/>
                <a:graphic xmlns:a="http://schemas.openxmlformats.org/drawingml/2006/main">
                  <a:graphicData uri="http://schemas.microsoft.com/office/word/2010/wordprocessingShape">
                    <wps:wsp>
                      <wps:cNvCnPr/>
                      <wps:spPr>
                        <a:xfrm flipV="1">
                          <a:off x="0" y="0"/>
                          <a:ext cx="6851650" cy="25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3B2953" id="Straight Connector 4"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47.2pt" to="539.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" strokecolor="black [3200]" strokeweight=".5pt">
                <v:stroke joinstyle="miter"/>
              </v:line>
            </w:pict>
          </mc:Fallback>
        </mc:AlternateContent>
      </w:r>
      <w:r w:rsidR="0041663B">
        <w:rPr>
          <w:sz w:val="18"/>
          <w:szCs w:val="18"/>
        </w:rPr>
        <w:br w:type="column"/>
      </w:r>
      <w:r w:rsidR="0041663B">
        <w:rPr>
          <w:noProof/>
          <w:sz w:val="18"/>
          <w:szCs w:val="18"/>
        </w:rPr>
        <w:drawing>
          <wp:inline distT="0" distB="0" distL="0" distR="0" wp14:anchorId="1DA1D8BF" wp14:editId="19EFE1E8">
            <wp:extent cx="855004" cy="774700"/>
            <wp:effectExtent l="0" t="0" r="2540" b="635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79786" cy="797154"/>
                    </a:xfrm>
                    <a:prstGeom prst="rect">
                      <a:avLst/>
                    </a:prstGeom>
                  </pic:spPr>
                </pic:pic>
              </a:graphicData>
            </a:graphic>
          </wp:inline>
        </w:drawing>
      </w:r>
    </w:p>
    <w:p w14:paraId="252EFE43" w14:textId="27D1864B" w:rsidR="007F01DE" w:rsidRPr="00C217AD" w:rsidRDefault="0041663B" w:rsidP="007F01DE">
      <w:pPr>
        <w:spacing w:after="80" w:line="240" w:lineRule="auto"/>
        <w:ind w:left="-180"/>
        <w:jc w:val="center"/>
        <w:rPr>
          <w:rFonts w:ascii="Univers LT Std 59 UltraCn" w:hAnsi="Univers LT Std 59 UltraCn"/>
          <w:b/>
          <w:bCs/>
          <w:smallCaps/>
          <w:color w:val="1C4F94"/>
          <w:sz w:val="36"/>
          <w:szCs w:val="32"/>
        </w:rPr>
      </w:pPr>
      <w:r>
        <w:rPr>
          <w:sz w:val="18"/>
          <w:szCs w:val="18"/>
        </w:rPr>
        <w:br w:type="column"/>
      </w:r>
      <w:r w:rsidR="007F01DE" w:rsidRPr="00C217AD">
        <w:rPr>
          <w:rFonts w:ascii="Univers LT Std 59 UltraCn" w:hAnsi="Univers LT Std 59 UltraCn"/>
          <w:b/>
          <w:bCs/>
          <w:smallCaps/>
          <w:color w:val="4472C4" w:themeColor="accent1"/>
          <w:sz w:val="36"/>
          <w:szCs w:val="32"/>
        </w:rPr>
        <w:t xml:space="preserve">Department of </w:t>
      </w:r>
      <w:r w:rsidR="007F01DE" w:rsidRPr="00C217AD">
        <w:rPr>
          <w:rFonts w:ascii="Univers LT Std 59 UltraCn" w:hAnsi="Univers LT Std 59 UltraCn"/>
          <w:b/>
          <w:bCs/>
          <w:smallCaps/>
          <w:color w:val="4472C4" w:themeColor="accent1"/>
          <w:sz w:val="36"/>
          <w:szCs w:val="32"/>
        </w:rPr>
        <w:br/>
        <w:t>Health and Human Services</w:t>
      </w:r>
    </w:p>
    <w:p w14:paraId="16DD2995" w14:textId="688CF7E7" w:rsidR="007F01DE" w:rsidRPr="00C217AD" w:rsidRDefault="007F01DE" w:rsidP="007F01DE">
      <w:pPr>
        <w:ind w:left="-180" w:right="-18"/>
        <w:jc w:val="center"/>
        <w:rPr>
          <w:color w:val="00396B"/>
          <w:sz w:val="20"/>
          <w:szCs w:val="20"/>
        </w:rPr>
      </w:pPr>
      <w:bookmarkStart w:id="0" w:name="_Hlk134980796"/>
      <w:bookmarkEnd w:id="0"/>
      <w:r w:rsidRPr="00C217AD">
        <w:rPr>
          <w:color w:val="44546A" w:themeColor="text2"/>
          <w:sz w:val="20"/>
          <w:szCs w:val="20"/>
        </w:rPr>
        <w:t xml:space="preserve"> </w:t>
      </w:r>
      <w:r w:rsidRPr="00C217AD">
        <w:rPr>
          <w:noProof/>
          <w:sz w:val="18"/>
          <w:szCs w:val="18"/>
        </w:rPr>
        <w:drawing>
          <wp:inline distT="0" distB="0" distL="0" distR="0" wp14:anchorId="7DBD51DD" wp14:editId="62FA7CE0">
            <wp:extent cx="2493855" cy="685800"/>
            <wp:effectExtent l="0" t="0" r="1905" b="0"/>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3855" cy="685800"/>
                    </a:xfrm>
                    <a:prstGeom prst="rect">
                      <a:avLst/>
                    </a:prstGeom>
                    <a:noFill/>
                    <a:ln>
                      <a:noFill/>
                    </a:ln>
                  </pic:spPr>
                </pic:pic>
              </a:graphicData>
            </a:graphic>
          </wp:inline>
        </w:drawing>
      </w:r>
    </w:p>
    <w:p w14:paraId="23B0068A" w14:textId="18025B54" w:rsidR="00496D78" w:rsidRDefault="004842F7" w:rsidP="007F01DE">
      <w:pPr>
        <w:spacing w:after="0" w:line="240" w:lineRule="auto"/>
        <w:ind w:firstLine="990"/>
        <w:rPr>
          <w:i/>
          <w:iCs/>
          <w:color w:val="00B0F0"/>
          <w:sz w:val="18"/>
          <w:szCs w:val="18"/>
        </w:rPr>
      </w:pPr>
      <w:r>
        <w:rPr>
          <w:i/>
          <w:iCs/>
          <w:color w:val="00B0F0"/>
          <w:sz w:val="18"/>
          <w:szCs w:val="18"/>
        </w:rPr>
        <w:br w:type="column"/>
      </w:r>
    </w:p>
    <w:p w14:paraId="0A18EB96" w14:textId="12E2B787" w:rsidR="00446A1D" w:rsidRPr="00493EDB" w:rsidRDefault="00496D78" w:rsidP="00CA42D0">
      <w:pPr>
        <w:spacing w:after="0"/>
        <w:ind w:left="-144" w:right="-898"/>
        <w:rPr>
          <w:rFonts w:cs="Times New Roman (Body CS)"/>
          <w:color w:val="1C4F94"/>
          <w:spacing w:val="-10"/>
          <w:sz w:val="18"/>
          <w:szCs w:val="18"/>
        </w:rPr>
      </w:pPr>
      <w:r>
        <w:rPr>
          <w:i/>
          <w:iCs/>
          <w:color w:val="00B0F0"/>
          <w:sz w:val="18"/>
          <w:szCs w:val="18"/>
        </w:rPr>
        <w:br w:type="column"/>
      </w:r>
      <w:r w:rsidR="00A533C4">
        <w:rPr>
          <w:i/>
          <w:iCs/>
          <w:color w:val="00B0F0"/>
          <w:sz w:val="18"/>
          <w:szCs w:val="18"/>
        </w:rPr>
        <w:t xml:space="preserve"> </w:t>
      </w:r>
      <w:r w:rsidR="00C217AD">
        <w:rPr>
          <w:rFonts w:cs="Times New Roman (Body CS)"/>
          <w:color w:val="1C4F94"/>
          <w:spacing w:val="-10"/>
          <w:sz w:val="18"/>
          <w:szCs w:val="18"/>
        </w:rPr>
        <w:t xml:space="preserve">Cody Phinney, </w:t>
      </w:r>
      <w:r w:rsidR="00CA42D0">
        <w:rPr>
          <w:rFonts w:cs="Times New Roman (Body CS)"/>
          <w:color w:val="1C4F94"/>
          <w:spacing w:val="-10"/>
          <w:sz w:val="18"/>
          <w:szCs w:val="18"/>
        </w:rPr>
        <w:t>MPH</w:t>
      </w:r>
    </w:p>
    <w:p w14:paraId="1A1F92AC" w14:textId="0B8CDD91" w:rsidR="006D4845" w:rsidRPr="00493EDB" w:rsidRDefault="006D4845" w:rsidP="0067347E">
      <w:pPr>
        <w:spacing w:after="0"/>
        <w:ind w:left="-180" w:right="-2"/>
        <w:jc w:val="center"/>
        <w:rPr>
          <w:rFonts w:cs="Times New Roman (Body CS)"/>
          <w:i/>
          <w:iCs/>
          <w:color w:val="1C4F94"/>
          <w:spacing w:val="-10"/>
          <w:sz w:val="18"/>
          <w:szCs w:val="18"/>
        </w:rPr>
      </w:pPr>
      <w:r w:rsidRPr="00493EDB">
        <w:rPr>
          <w:rFonts w:cs="Times New Roman (Body CS)"/>
          <w:i/>
          <w:iCs/>
          <w:color w:val="1C4F94"/>
          <w:spacing w:val="-10"/>
          <w:sz w:val="18"/>
          <w:szCs w:val="18"/>
        </w:rPr>
        <w:t>Administrator</w:t>
      </w:r>
      <w:r w:rsidR="0067347E">
        <w:rPr>
          <w:rFonts w:cs="Times New Roman (Body CS)"/>
          <w:i/>
          <w:iCs/>
          <w:color w:val="1C4F94"/>
          <w:spacing w:val="-10"/>
          <w:sz w:val="18"/>
          <w:szCs w:val="18"/>
        </w:rPr>
        <w:br/>
      </w:r>
    </w:p>
    <w:p w14:paraId="1A7B70C8" w14:textId="0BB3B261" w:rsidR="0067347E" w:rsidRPr="00493EDB" w:rsidRDefault="0067347E" w:rsidP="0067347E">
      <w:pPr>
        <w:spacing w:after="0"/>
        <w:ind w:left="-180" w:right="-2"/>
        <w:jc w:val="center"/>
        <w:rPr>
          <w:rFonts w:cs="Times New Roman (Body CS)"/>
          <w:color w:val="1C4F94"/>
          <w:spacing w:val="-10"/>
          <w:sz w:val="18"/>
          <w:szCs w:val="18"/>
        </w:rPr>
      </w:pPr>
      <w:r>
        <w:rPr>
          <w:rFonts w:cs="Times New Roman (Body CS)"/>
          <w:color w:val="1C4F94"/>
          <w:spacing w:val="-10"/>
          <w:sz w:val="18"/>
          <w:szCs w:val="18"/>
        </w:rPr>
        <w:t xml:space="preserve">Ihsan Azzam, </w:t>
      </w:r>
      <w:r>
        <w:rPr>
          <w:rFonts w:cs="Times New Roman (Body CS)"/>
          <w:color w:val="1C4F94"/>
          <w:spacing w:val="-10"/>
          <w:sz w:val="18"/>
          <w:szCs w:val="18"/>
        </w:rPr>
        <w:br/>
        <w:t>Ph.D., M.D.</w:t>
      </w:r>
    </w:p>
    <w:p w14:paraId="6394ED35" w14:textId="2D87DB84" w:rsidR="006D4845" w:rsidRPr="00154392" w:rsidRDefault="0067347E" w:rsidP="00154392">
      <w:pPr>
        <w:spacing w:after="0"/>
        <w:ind w:left="-180" w:right="-2"/>
        <w:jc w:val="center"/>
        <w:rPr>
          <w:rFonts w:cs="Times New Roman (Body CS)"/>
          <w:i/>
          <w:iCs/>
          <w:color w:val="1C4F94"/>
          <w:spacing w:val="-10"/>
          <w:sz w:val="18"/>
          <w:szCs w:val="18"/>
        </w:rPr>
        <w:sectPr w:rsidR="006D4845" w:rsidRPr="00154392" w:rsidSect="00491FB9">
          <w:footerReference w:type="default" r:id="rId14"/>
          <w:pgSz w:w="12240" w:h="15840"/>
          <w:pgMar w:top="720" w:right="576" w:bottom="720" w:left="576" w:header="0" w:footer="720" w:gutter="0"/>
          <w:cols w:num="5" w:space="144" w:equalWidth="0">
            <w:col w:w="1440" w:space="194"/>
            <w:col w:w="1440" w:space="194"/>
            <w:col w:w="4752" w:space="144"/>
            <w:col w:w="1327" w:space="195"/>
            <w:col w:w="1402"/>
          </w:cols>
          <w:docGrid w:linePitch="360"/>
        </w:sectPr>
      </w:pPr>
      <w:r>
        <w:rPr>
          <w:rFonts w:cs="Times New Roman (Body CS)"/>
          <w:i/>
          <w:iCs/>
          <w:color w:val="1C4F94"/>
          <w:spacing w:val="-10"/>
          <w:sz w:val="18"/>
          <w:szCs w:val="18"/>
        </w:rPr>
        <w:t>Chief Medical Officer</w:t>
      </w:r>
    </w:p>
    <w:p w14:paraId="02C2780D" w14:textId="77777777" w:rsidR="00965108" w:rsidRDefault="00965108" w:rsidP="00965108">
      <w:pPr>
        <w:spacing w:after="0" w:line="240" w:lineRule="auto"/>
        <w:jc w:val="both"/>
        <w:rPr>
          <w:rFonts w:asciiTheme="majorHAnsi" w:hAnsiTheme="majorHAnsi" w:cstheme="majorHAnsi"/>
          <w:b/>
          <w:sz w:val="6"/>
          <w:szCs w:val="6"/>
          <w:u w:val="thick" w:color="000000"/>
        </w:rPr>
      </w:pPr>
    </w:p>
    <w:p w14:paraId="0BC8FD4C" w14:textId="77777777" w:rsidR="00A708C2" w:rsidRPr="00AF1AE4" w:rsidRDefault="00A708C2" w:rsidP="00965108">
      <w:pPr>
        <w:pStyle w:val="BodyText"/>
        <w:jc w:val="both"/>
        <w:rPr>
          <w:rFonts w:asciiTheme="majorHAnsi" w:hAnsiTheme="majorHAnsi" w:cstheme="majorHAnsi"/>
          <w:b/>
          <w:sz w:val="23"/>
          <w:szCs w:val="23"/>
        </w:rPr>
      </w:pPr>
    </w:p>
    <w:p w14:paraId="79843EF2" w14:textId="07292850" w:rsidR="00965108" w:rsidRPr="00AF1AE4" w:rsidRDefault="00965108" w:rsidP="00965108">
      <w:pPr>
        <w:pStyle w:val="BodyText"/>
        <w:jc w:val="both"/>
        <w:rPr>
          <w:rFonts w:asciiTheme="majorHAnsi" w:hAnsiTheme="majorHAnsi" w:cstheme="majorHAnsi"/>
          <w:sz w:val="23"/>
          <w:szCs w:val="23"/>
        </w:rPr>
      </w:pPr>
      <w:r w:rsidRPr="00AF1AE4">
        <w:rPr>
          <w:rFonts w:asciiTheme="majorHAnsi" w:hAnsiTheme="majorHAnsi" w:cstheme="majorHAnsi"/>
          <w:b/>
          <w:sz w:val="23"/>
          <w:szCs w:val="23"/>
        </w:rPr>
        <w:t>Date:</w:t>
      </w:r>
      <w:r w:rsidRPr="00AF1AE4">
        <w:rPr>
          <w:rFonts w:asciiTheme="majorHAnsi" w:hAnsiTheme="majorHAnsi" w:cstheme="majorHAnsi"/>
          <w:sz w:val="23"/>
          <w:szCs w:val="23"/>
        </w:rPr>
        <w:t xml:space="preserve"> </w:t>
      </w:r>
      <w:r w:rsidRPr="00AF1AE4">
        <w:rPr>
          <w:rFonts w:asciiTheme="majorHAnsi" w:hAnsiTheme="majorHAnsi" w:cstheme="majorHAnsi"/>
          <w:sz w:val="23"/>
          <w:szCs w:val="23"/>
        </w:rPr>
        <w:tab/>
      </w:r>
      <w:r w:rsidRPr="00AF1AE4">
        <w:rPr>
          <w:rFonts w:asciiTheme="majorHAnsi" w:hAnsiTheme="majorHAnsi" w:cstheme="majorHAnsi"/>
          <w:sz w:val="23"/>
          <w:szCs w:val="23"/>
        </w:rPr>
        <w:tab/>
      </w:r>
      <w:r w:rsidR="00766A99">
        <w:rPr>
          <w:rFonts w:asciiTheme="majorHAnsi" w:hAnsiTheme="majorHAnsi" w:cstheme="majorHAnsi"/>
          <w:sz w:val="23"/>
          <w:szCs w:val="23"/>
        </w:rPr>
        <w:t>February</w:t>
      </w:r>
      <w:r w:rsidRPr="00AF1AE4">
        <w:rPr>
          <w:rFonts w:asciiTheme="majorHAnsi" w:hAnsiTheme="majorHAnsi" w:cstheme="majorHAnsi"/>
          <w:w w:val="105"/>
          <w:sz w:val="23"/>
          <w:szCs w:val="23"/>
        </w:rPr>
        <w:t xml:space="preserve"> </w:t>
      </w:r>
      <w:r w:rsidR="00766A99">
        <w:rPr>
          <w:rFonts w:asciiTheme="majorHAnsi" w:hAnsiTheme="majorHAnsi" w:cstheme="majorHAnsi"/>
          <w:w w:val="105"/>
          <w:sz w:val="23"/>
          <w:szCs w:val="23"/>
        </w:rPr>
        <w:t>20</w:t>
      </w:r>
      <w:r w:rsidRPr="00AF1AE4">
        <w:rPr>
          <w:rFonts w:asciiTheme="majorHAnsi" w:hAnsiTheme="majorHAnsi" w:cstheme="majorHAnsi"/>
          <w:w w:val="105"/>
          <w:sz w:val="23"/>
          <w:szCs w:val="23"/>
        </w:rPr>
        <w:t>, 202</w:t>
      </w:r>
      <w:r w:rsidR="00766A99">
        <w:rPr>
          <w:rFonts w:asciiTheme="majorHAnsi" w:hAnsiTheme="majorHAnsi" w:cstheme="majorHAnsi"/>
          <w:w w:val="105"/>
          <w:sz w:val="23"/>
          <w:szCs w:val="23"/>
        </w:rPr>
        <w:t>4</w:t>
      </w:r>
    </w:p>
    <w:p w14:paraId="616FBAE8" w14:textId="77777777" w:rsidR="00965108" w:rsidRPr="00AF1AE4" w:rsidRDefault="00965108" w:rsidP="00965108">
      <w:pPr>
        <w:pStyle w:val="NormalWeb"/>
        <w:spacing w:before="0" w:beforeAutospacing="0" w:after="0" w:afterAutospacing="0"/>
        <w:jc w:val="both"/>
        <w:rPr>
          <w:rFonts w:asciiTheme="majorHAnsi" w:hAnsiTheme="majorHAnsi" w:cstheme="majorHAnsi"/>
          <w:b/>
          <w:sz w:val="23"/>
          <w:szCs w:val="23"/>
        </w:rPr>
      </w:pPr>
    </w:p>
    <w:p w14:paraId="166243E7" w14:textId="77777777" w:rsidR="00965108" w:rsidRPr="00AF1AE4" w:rsidRDefault="00965108" w:rsidP="00965108">
      <w:pPr>
        <w:pStyle w:val="NormalWeb"/>
        <w:spacing w:before="0" w:beforeAutospacing="0" w:after="0" w:afterAutospacing="0"/>
        <w:jc w:val="both"/>
        <w:rPr>
          <w:rFonts w:asciiTheme="majorHAnsi" w:hAnsiTheme="majorHAnsi" w:cstheme="majorHAnsi"/>
          <w:sz w:val="23"/>
          <w:szCs w:val="23"/>
        </w:rPr>
      </w:pPr>
      <w:r w:rsidRPr="00AF1AE4">
        <w:rPr>
          <w:rFonts w:asciiTheme="majorHAnsi" w:hAnsiTheme="majorHAnsi" w:cstheme="majorHAnsi"/>
          <w:b/>
          <w:sz w:val="23"/>
          <w:szCs w:val="23"/>
        </w:rPr>
        <w:t>To:</w:t>
      </w:r>
      <w:r w:rsidRPr="00AF1AE4">
        <w:rPr>
          <w:rFonts w:asciiTheme="majorHAnsi" w:hAnsiTheme="majorHAnsi" w:cstheme="majorHAnsi"/>
          <w:sz w:val="23"/>
          <w:szCs w:val="23"/>
        </w:rPr>
        <w:tab/>
      </w:r>
      <w:r w:rsidRPr="00AF1AE4">
        <w:rPr>
          <w:rFonts w:asciiTheme="majorHAnsi" w:hAnsiTheme="majorHAnsi" w:cstheme="majorHAnsi"/>
          <w:sz w:val="23"/>
          <w:szCs w:val="23"/>
        </w:rPr>
        <w:tab/>
        <w:t xml:space="preserve">Nevada State Board of Health </w:t>
      </w:r>
    </w:p>
    <w:p w14:paraId="52D3C4CA" w14:textId="77777777" w:rsidR="00965108" w:rsidRPr="00AF1AE4" w:rsidRDefault="00965108" w:rsidP="00965108">
      <w:pPr>
        <w:pStyle w:val="NormalWeb"/>
        <w:spacing w:before="0" w:beforeAutospacing="0" w:after="0" w:afterAutospacing="0"/>
        <w:jc w:val="both"/>
        <w:rPr>
          <w:rFonts w:asciiTheme="majorHAnsi" w:hAnsiTheme="majorHAnsi" w:cstheme="majorHAnsi"/>
          <w:b/>
          <w:sz w:val="23"/>
          <w:szCs w:val="23"/>
        </w:rPr>
      </w:pPr>
    </w:p>
    <w:p w14:paraId="21316B5A" w14:textId="20C96A6C" w:rsidR="00965108" w:rsidRPr="00AF1AE4" w:rsidRDefault="00965108" w:rsidP="00965108">
      <w:pPr>
        <w:pStyle w:val="NormalWeb"/>
        <w:spacing w:before="0" w:beforeAutospacing="0" w:after="0" w:afterAutospacing="0"/>
        <w:jc w:val="both"/>
        <w:rPr>
          <w:rFonts w:asciiTheme="majorHAnsi" w:hAnsiTheme="majorHAnsi" w:cstheme="majorHAnsi"/>
          <w:sz w:val="23"/>
          <w:szCs w:val="23"/>
        </w:rPr>
      </w:pPr>
      <w:r w:rsidRPr="00AF1AE4">
        <w:rPr>
          <w:rFonts w:asciiTheme="majorHAnsi" w:hAnsiTheme="majorHAnsi" w:cstheme="majorHAnsi"/>
          <w:b/>
          <w:sz w:val="23"/>
          <w:szCs w:val="23"/>
        </w:rPr>
        <w:t>Through:</w:t>
      </w:r>
      <w:r w:rsidRPr="00AF1AE4">
        <w:rPr>
          <w:rFonts w:asciiTheme="majorHAnsi" w:hAnsiTheme="majorHAnsi" w:cstheme="majorHAnsi"/>
          <w:sz w:val="23"/>
          <w:szCs w:val="23"/>
        </w:rPr>
        <w:tab/>
        <w:t xml:space="preserve">Richard Whitley, </w:t>
      </w:r>
      <w:r w:rsidR="00BA2CF6" w:rsidRPr="00AF1AE4">
        <w:rPr>
          <w:rFonts w:asciiTheme="majorHAnsi" w:hAnsiTheme="majorHAnsi" w:cstheme="majorHAnsi"/>
          <w:sz w:val="23"/>
          <w:szCs w:val="23"/>
        </w:rPr>
        <w:t xml:space="preserve">MS, </w:t>
      </w:r>
      <w:r w:rsidRPr="00AF1AE4">
        <w:rPr>
          <w:rFonts w:asciiTheme="majorHAnsi" w:hAnsiTheme="majorHAnsi" w:cstheme="majorHAnsi"/>
          <w:sz w:val="23"/>
          <w:szCs w:val="23"/>
        </w:rPr>
        <w:t xml:space="preserve">Director DHHS </w:t>
      </w:r>
    </w:p>
    <w:p w14:paraId="7FF019BB" w14:textId="2A1977EA" w:rsidR="00965108" w:rsidRPr="00AF1AE4" w:rsidRDefault="00965108" w:rsidP="00965108">
      <w:pPr>
        <w:pStyle w:val="NormalWeb"/>
        <w:spacing w:before="0" w:beforeAutospacing="0" w:after="0" w:afterAutospacing="0"/>
        <w:jc w:val="both"/>
        <w:rPr>
          <w:rFonts w:asciiTheme="majorHAnsi" w:hAnsiTheme="majorHAnsi" w:cstheme="majorHAnsi"/>
          <w:sz w:val="23"/>
          <w:szCs w:val="23"/>
        </w:rPr>
      </w:pPr>
      <w:r w:rsidRPr="00AF1AE4">
        <w:rPr>
          <w:rFonts w:asciiTheme="majorHAnsi" w:hAnsiTheme="majorHAnsi" w:cstheme="majorHAnsi"/>
          <w:sz w:val="23"/>
          <w:szCs w:val="23"/>
        </w:rPr>
        <w:tab/>
      </w:r>
      <w:r w:rsidRPr="00AF1AE4">
        <w:rPr>
          <w:rFonts w:asciiTheme="majorHAnsi" w:hAnsiTheme="majorHAnsi" w:cstheme="majorHAnsi"/>
          <w:sz w:val="23"/>
          <w:szCs w:val="23"/>
        </w:rPr>
        <w:tab/>
      </w:r>
      <w:r w:rsidR="00BA2CF6" w:rsidRPr="00AF1AE4">
        <w:rPr>
          <w:rFonts w:asciiTheme="majorHAnsi" w:hAnsiTheme="majorHAnsi" w:cstheme="majorHAnsi"/>
          <w:sz w:val="23"/>
          <w:szCs w:val="23"/>
        </w:rPr>
        <w:t xml:space="preserve">Cody Phinney, </w:t>
      </w:r>
      <w:r w:rsidR="00D8209E" w:rsidRPr="00AF1AE4">
        <w:rPr>
          <w:rFonts w:asciiTheme="majorHAnsi" w:hAnsiTheme="majorHAnsi" w:cstheme="majorHAnsi"/>
          <w:sz w:val="23"/>
          <w:szCs w:val="23"/>
        </w:rPr>
        <w:t>MPH, Administrator</w:t>
      </w:r>
      <w:r w:rsidRPr="00AF1AE4">
        <w:rPr>
          <w:rFonts w:asciiTheme="majorHAnsi" w:hAnsiTheme="majorHAnsi" w:cstheme="majorHAnsi"/>
          <w:sz w:val="23"/>
          <w:szCs w:val="23"/>
        </w:rPr>
        <w:t>, DPBH</w:t>
      </w:r>
    </w:p>
    <w:p w14:paraId="39182A6C" w14:textId="77777777" w:rsidR="00965108" w:rsidRPr="00AF1AE4" w:rsidRDefault="00965108" w:rsidP="00965108">
      <w:pPr>
        <w:pStyle w:val="NormalWeb"/>
        <w:spacing w:before="0" w:beforeAutospacing="0" w:after="0" w:afterAutospacing="0"/>
        <w:jc w:val="both"/>
        <w:rPr>
          <w:rFonts w:asciiTheme="majorHAnsi" w:hAnsiTheme="majorHAnsi" w:cstheme="majorHAnsi"/>
          <w:b/>
          <w:sz w:val="23"/>
          <w:szCs w:val="23"/>
        </w:rPr>
      </w:pPr>
    </w:p>
    <w:p w14:paraId="6F204514" w14:textId="77777777" w:rsidR="00965108" w:rsidRPr="00AF1AE4" w:rsidRDefault="00965108" w:rsidP="00965108">
      <w:pPr>
        <w:pStyle w:val="NormalWeb"/>
        <w:spacing w:before="0" w:beforeAutospacing="0" w:after="0" w:afterAutospacing="0"/>
        <w:jc w:val="both"/>
        <w:rPr>
          <w:rFonts w:asciiTheme="majorHAnsi" w:hAnsiTheme="majorHAnsi" w:cstheme="majorHAnsi"/>
          <w:sz w:val="23"/>
          <w:szCs w:val="23"/>
        </w:rPr>
      </w:pPr>
      <w:r w:rsidRPr="00AF1AE4">
        <w:rPr>
          <w:rFonts w:asciiTheme="majorHAnsi" w:hAnsiTheme="majorHAnsi" w:cstheme="majorHAnsi"/>
          <w:b/>
          <w:sz w:val="23"/>
          <w:szCs w:val="23"/>
        </w:rPr>
        <w:t>From:</w:t>
      </w:r>
      <w:r w:rsidRPr="00AF1AE4">
        <w:rPr>
          <w:rFonts w:asciiTheme="majorHAnsi" w:hAnsiTheme="majorHAnsi" w:cstheme="majorHAnsi"/>
          <w:sz w:val="23"/>
          <w:szCs w:val="23"/>
        </w:rPr>
        <w:tab/>
      </w:r>
      <w:r w:rsidRPr="00AF1AE4">
        <w:rPr>
          <w:rFonts w:asciiTheme="majorHAnsi" w:hAnsiTheme="majorHAnsi" w:cstheme="majorHAnsi"/>
          <w:sz w:val="23"/>
          <w:szCs w:val="23"/>
        </w:rPr>
        <w:tab/>
        <w:t>Ihsan Azzam, PhD, MD, MPH, Chief Medical Officer</w:t>
      </w:r>
    </w:p>
    <w:p w14:paraId="4406F3EC" w14:textId="77777777" w:rsidR="00965108" w:rsidRPr="00AF1AE4" w:rsidRDefault="00965108" w:rsidP="00965108">
      <w:pPr>
        <w:pStyle w:val="NormalWeb"/>
        <w:spacing w:before="0" w:beforeAutospacing="0" w:after="0" w:afterAutospacing="0"/>
        <w:ind w:left="720" w:hanging="720"/>
        <w:jc w:val="both"/>
        <w:rPr>
          <w:rFonts w:asciiTheme="majorHAnsi" w:hAnsiTheme="majorHAnsi" w:cstheme="majorHAnsi"/>
          <w:b/>
          <w:sz w:val="23"/>
          <w:szCs w:val="23"/>
        </w:rPr>
      </w:pPr>
    </w:p>
    <w:p w14:paraId="05BBC9BF" w14:textId="77777777" w:rsidR="00D8209E" w:rsidRDefault="00965108" w:rsidP="00EA6CA8">
      <w:pPr>
        <w:pStyle w:val="NormalWeb"/>
        <w:spacing w:before="0" w:beforeAutospacing="0" w:after="0" w:afterAutospacing="0"/>
        <w:ind w:left="720" w:hanging="720"/>
        <w:jc w:val="both"/>
        <w:rPr>
          <w:rFonts w:asciiTheme="majorHAnsi" w:hAnsiTheme="majorHAnsi" w:cstheme="majorHAnsi"/>
          <w:sz w:val="23"/>
          <w:szCs w:val="23"/>
        </w:rPr>
      </w:pPr>
      <w:r w:rsidRPr="00AF1AE4">
        <w:rPr>
          <w:rFonts w:asciiTheme="majorHAnsi" w:hAnsiTheme="majorHAnsi" w:cstheme="majorHAnsi"/>
          <w:b/>
          <w:sz w:val="23"/>
          <w:szCs w:val="23"/>
        </w:rPr>
        <w:t>Re:</w:t>
      </w:r>
      <w:r w:rsidRPr="00AF1AE4">
        <w:rPr>
          <w:rFonts w:asciiTheme="majorHAnsi" w:hAnsiTheme="majorHAnsi" w:cstheme="majorHAnsi"/>
          <w:sz w:val="23"/>
          <w:szCs w:val="23"/>
        </w:rPr>
        <w:tab/>
        <w:t xml:space="preserve">            </w:t>
      </w:r>
      <w:r w:rsidR="00C72015" w:rsidRPr="00AF1AE4">
        <w:rPr>
          <w:rFonts w:asciiTheme="majorHAnsi" w:hAnsiTheme="majorHAnsi" w:cstheme="majorHAnsi"/>
          <w:sz w:val="23"/>
          <w:szCs w:val="23"/>
        </w:rPr>
        <w:t xml:space="preserve"> </w:t>
      </w:r>
      <w:r w:rsidRPr="00AF1AE4">
        <w:rPr>
          <w:rFonts w:asciiTheme="majorHAnsi" w:hAnsiTheme="majorHAnsi" w:cstheme="majorHAnsi"/>
          <w:sz w:val="23"/>
          <w:szCs w:val="23"/>
        </w:rPr>
        <w:t>Report to the Board of Health for</w:t>
      </w:r>
      <w:r w:rsidR="00D8209E" w:rsidRPr="00AF1AE4">
        <w:rPr>
          <w:rFonts w:asciiTheme="majorHAnsi" w:hAnsiTheme="majorHAnsi" w:cstheme="majorHAnsi"/>
          <w:sz w:val="23"/>
          <w:szCs w:val="23"/>
        </w:rPr>
        <w:t xml:space="preserve"> </w:t>
      </w:r>
      <w:r w:rsidR="00DA0959">
        <w:rPr>
          <w:rFonts w:asciiTheme="majorHAnsi" w:hAnsiTheme="majorHAnsi" w:cstheme="majorHAnsi"/>
          <w:sz w:val="23"/>
          <w:szCs w:val="23"/>
        </w:rPr>
        <w:t>March</w:t>
      </w:r>
      <w:r w:rsidR="00D8209E" w:rsidRPr="00AF1AE4">
        <w:rPr>
          <w:rFonts w:asciiTheme="majorHAnsi" w:hAnsiTheme="majorHAnsi" w:cstheme="majorHAnsi"/>
          <w:sz w:val="23"/>
          <w:szCs w:val="23"/>
        </w:rPr>
        <w:t xml:space="preserve"> 0</w:t>
      </w:r>
      <w:r w:rsidR="00DA0959">
        <w:rPr>
          <w:rFonts w:asciiTheme="majorHAnsi" w:hAnsiTheme="majorHAnsi" w:cstheme="majorHAnsi"/>
          <w:sz w:val="23"/>
          <w:szCs w:val="23"/>
        </w:rPr>
        <w:t>1</w:t>
      </w:r>
      <w:r w:rsidRPr="00AF1AE4">
        <w:rPr>
          <w:rFonts w:asciiTheme="majorHAnsi" w:hAnsiTheme="majorHAnsi" w:cstheme="majorHAnsi"/>
          <w:sz w:val="23"/>
          <w:szCs w:val="23"/>
        </w:rPr>
        <w:t>, 202</w:t>
      </w:r>
      <w:r w:rsidR="00DA0959">
        <w:rPr>
          <w:rFonts w:asciiTheme="majorHAnsi" w:hAnsiTheme="majorHAnsi" w:cstheme="majorHAnsi"/>
          <w:sz w:val="23"/>
          <w:szCs w:val="23"/>
        </w:rPr>
        <w:t>4</w:t>
      </w:r>
      <w:r w:rsidRPr="00AF1AE4">
        <w:rPr>
          <w:rFonts w:asciiTheme="majorHAnsi" w:hAnsiTheme="majorHAnsi" w:cstheme="majorHAnsi"/>
          <w:sz w:val="23"/>
          <w:szCs w:val="23"/>
        </w:rPr>
        <w:t xml:space="preserve">  </w:t>
      </w:r>
    </w:p>
    <w:p w14:paraId="37C4F8DA" w14:textId="77777777" w:rsidR="00EA6CA8" w:rsidRPr="007933AA" w:rsidRDefault="00EA6CA8" w:rsidP="00EA6CA8">
      <w:pPr>
        <w:pStyle w:val="NormalWeb"/>
        <w:spacing w:before="0" w:beforeAutospacing="0" w:after="0" w:afterAutospacing="0"/>
        <w:ind w:left="720" w:hanging="720"/>
        <w:jc w:val="both"/>
        <w:rPr>
          <w:rFonts w:asciiTheme="majorHAnsi" w:hAnsiTheme="majorHAnsi" w:cstheme="majorHAnsi"/>
          <w:sz w:val="18"/>
          <w:szCs w:val="18"/>
        </w:rPr>
      </w:pPr>
    </w:p>
    <w:p w14:paraId="3939A963" w14:textId="2BAC702E" w:rsidR="00EA6CA8" w:rsidRPr="007933AA" w:rsidRDefault="00EA6CA8" w:rsidP="00EA6CA8">
      <w:pPr>
        <w:pStyle w:val="NormalWeb"/>
        <w:spacing w:before="0" w:beforeAutospacing="0" w:after="0" w:afterAutospacing="0"/>
        <w:ind w:left="720" w:hanging="720"/>
        <w:jc w:val="both"/>
        <w:rPr>
          <w:rFonts w:asciiTheme="majorHAnsi" w:hAnsiTheme="majorHAnsi" w:cstheme="majorHAnsi"/>
          <w:sz w:val="18"/>
          <w:szCs w:val="18"/>
        </w:rPr>
        <w:sectPr w:rsidR="00EA6CA8" w:rsidRPr="007933AA" w:rsidSect="00A708C2">
          <w:type w:val="continuous"/>
          <w:pgSz w:w="12240" w:h="15840"/>
          <w:pgMar w:top="1152" w:right="1152" w:bottom="1152" w:left="1152" w:header="0" w:footer="720" w:gutter="0"/>
          <w:cols w:space="194"/>
          <w:docGrid w:linePitch="360"/>
        </w:sectPr>
      </w:pPr>
    </w:p>
    <w:p w14:paraId="28ACEC33" w14:textId="77777777"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r w:rsidRPr="00203C76">
        <w:rPr>
          <w:rFonts w:asciiTheme="majorHAnsi" w:hAnsiTheme="majorHAnsi" w:cstheme="majorHAnsi"/>
          <w:b/>
          <w:bCs/>
          <w:color w:val="242424"/>
          <w:u w:val="single"/>
        </w:rPr>
        <w:t xml:space="preserve">Introduction </w:t>
      </w:r>
    </w:p>
    <w:p w14:paraId="0CEE399F" w14:textId="77777777" w:rsidR="00EA6CA8" w:rsidRPr="007933AA"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sz w:val="8"/>
          <w:szCs w:val="8"/>
          <w:u w:val="single"/>
        </w:rPr>
      </w:pPr>
    </w:p>
    <w:p w14:paraId="2A253B1D" w14:textId="77777777"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 xml:space="preserve">A lot has changed with COVID-19 Virus since its emergence four years ago.  We are not seeing the same number of reported cases, probably because almost all testing is occurring at home, and most recent cases are mild or less severe especially among those who are adequately immunized. Additionally, the number of COVID-19 related hospitalization and death is significantly lower than those observed during the pandemic, and the health care systems aren't overrun with patients.  However, COVID is still out there, especially that the protection from COVID-19 infections and from the vaccine are continuously diminishing over time.   Nevertheless, the general awareness of biological agents’ transmission has increased. Community members are taking proper/better precautions against other viral threats like the common cold, influenza, and respiratory syncytial virus (RSV). It appears that some people continue to use facemasks, respecting social distancing, practicing improved individual and environmental hygiene, and avoiding crowded area. </w:t>
      </w:r>
    </w:p>
    <w:p w14:paraId="7159A3C5" w14:textId="77777777" w:rsidR="00EA6CA8" w:rsidRPr="007933AA"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16ECAD69" w14:textId="77777777"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 xml:space="preserve">Previous stringent isolation recommendations were implemented to reduce the spread of a newly emerging virus to which the population had no or very little immunity, and which had greater risk of causing severe disease and putting pressure on healthcare systems.  There are now reduced impacts from COVID-19 due to a broad population immunity from vaccination and/or natural infection, and readily available treatments for infected people. </w:t>
      </w:r>
    </w:p>
    <w:p w14:paraId="10C55DE7" w14:textId="77777777" w:rsidR="00EA6CA8" w:rsidRPr="007933AA"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7EB028B4" w14:textId="77777777"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While COVID-19 continues to have the potential to cause serious disease, especially amongst the most vulnerable, the contribution of COVID-19 to hospitalizations and deaths is now much lower than prior winter seasons during the pandemic.</w:t>
      </w:r>
    </w:p>
    <w:p w14:paraId="47166DA9" w14:textId="77777777" w:rsidR="00EA6CA8" w:rsidRPr="007933AA"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16C9D192" w14:textId="62E395BB" w:rsidR="00F832F1"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 xml:space="preserve">Most recently observed COVID-19 infections seem to be mildly symptomatic or even asymptomatic and many people are no longer testing, and do not know what infection they may have. Given the current simultaneous circulation of COVID-19, </w:t>
      </w:r>
      <w:r w:rsidR="00AA3DDC" w:rsidRPr="00203C76">
        <w:rPr>
          <w:rFonts w:asciiTheme="majorHAnsi" w:hAnsiTheme="majorHAnsi" w:cstheme="majorHAnsi"/>
          <w:color w:val="242424"/>
        </w:rPr>
        <w:t>influenza,</w:t>
      </w:r>
      <w:r w:rsidRPr="00203C76">
        <w:rPr>
          <w:rFonts w:asciiTheme="majorHAnsi" w:hAnsiTheme="majorHAnsi" w:cstheme="majorHAnsi"/>
          <w:color w:val="242424"/>
        </w:rPr>
        <w:t xml:space="preserve"> and RSV viruses, </w:t>
      </w:r>
    </w:p>
    <w:p w14:paraId="4279D85E" w14:textId="577996CB"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 xml:space="preserve">surveillance activities in place from before the pandemic will require review and adjustment to ensure their ongoing value for public health disease tracking and control. </w:t>
      </w:r>
    </w:p>
    <w:p w14:paraId="4852CF2C" w14:textId="77777777" w:rsidR="00056557" w:rsidRPr="00056557" w:rsidRDefault="00056557"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401F9786" w14:textId="1037D0D2"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lastRenderedPageBreak/>
        <w:t>Starting April 30, 2024, hospitals will no longer be required to collect COVID-19 data and submit it to CDC. It’s important to emphasize that Nevada hospitals voluntarily began collecting data and providing it to public health system within five days of Nevada’s first COVID-19 case, and the Nevada Hospitals Association (NHA) dashboard has been operational since March 27, 2020.</w:t>
      </w:r>
    </w:p>
    <w:p w14:paraId="1704CBD8" w14:textId="5D4BCB8C"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 xml:space="preserve">Additionally, CDC seems to be in the process of loosening their COVID-19 isolation guidance and are planning to recommend that isolation is not warranted after a person is fever-free for 24 hours without medication. This guidance would put the recommendation more in line with those </w:t>
      </w:r>
      <w:r w:rsidR="008D2745">
        <w:rPr>
          <w:rFonts w:asciiTheme="majorHAnsi" w:hAnsiTheme="majorHAnsi" w:cstheme="majorHAnsi"/>
          <w:color w:val="242424"/>
        </w:rPr>
        <w:t>for</w:t>
      </w:r>
      <w:r w:rsidR="00A828FE">
        <w:rPr>
          <w:rFonts w:asciiTheme="majorHAnsi" w:hAnsiTheme="majorHAnsi" w:cstheme="majorHAnsi"/>
          <w:color w:val="242424"/>
        </w:rPr>
        <w:t xml:space="preserve"> </w:t>
      </w:r>
      <w:r w:rsidRPr="00203C76">
        <w:rPr>
          <w:rFonts w:asciiTheme="majorHAnsi" w:hAnsiTheme="majorHAnsi" w:cstheme="majorHAnsi"/>
          <w:color w:val="242424"/>
        </w:rPr>
        <w:t xml:space="preserve">influenza and RSV. </w:t>
      </w:r>
    </w:p>
    <w:p w14:paraId="2E0CE0FB" w14:textId="77777777" w:rsidR="00EA6CA8" w:rsidRPr="00BF33A8"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3F1FC9E9" w14:textId="14095025" w:rsidR="00EA6CA8" w:rsidRPr="00203C76"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203C76">
        <w:rPr>
          <w:rFonts w:asciiTheme="majorHAnsi" w:hAnsiTheme="majorHAnsi" w:cstheme="majorHAnsi"/>
          <w:color w:val="242424"/>
        </w:rPr>
        <w:t>A symptom-based approach to isolation is consistent with recommendations for other viral respiratory infections.  Such shift in the public health focus seems to be warranted to provide more protection for those at most risk for serious illness, while minimizing the disruptive impact of isolation in schools and the workplace.  To support the ongoing management of currently endemic viral respiratory diseases while transitioning out of the acute phase of the COVID-19 pandemic, Nevada is planning to move toward an integrated model of surveillance for CO</w:t>
      </w:r>
      <w:r w:rsidR="00397ECF">
        <w:rPr>
          <w:rFonts w:asciiTheme="majorHAnsi" w:hAnsiTheme="majorHAnsi" w:cstheme="majorHAnsi"/>
          <w:color w:val="242424"/>
        </w:rPr>
        <w:t>V</w:t>
      </w:r>
      <w:r w:rsidRPr="00203C76">
        <w:rPr>
          <w:rFonts w:asciiTheme="majorHAnsi" w:hAnsiTheme="majorHAnsi" w:cstheme="majorHAnsi"/>
          <w:color w:val="242424"/>
        </w:rPr>
        <w:t xml:space="preserve">ID-19, influenza, RSV, and other respiratory pathogens. </w:t>
      </w:r>
    </w:p>
    <w:p w14:paraId="4191C97C" w14:textId="77777777" w:rsidR="00EA6CA8" w:rsidRPr="00F832F1"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6"/>
          <w:szCs w:val="16"/>
        </w:rPr>
      </w:pPr>
    </w:p>
    <w:p w14:paraId="10EB6BB9"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r w:rsidRPr="007F0957">
        <w:rPr>
          <w:rFonts w:asciiTheme="majorHAnsi" w:hAnsiTheme="majorHAnsi" w:cstheme="majorHAnsi"/>
          <w:b/>
          <w:bCs/>
          <w:color w:val="242424"/>
          <w:u w:val="single"/>
        </w:rPr>
        <w:t>Respiratory Infections Season</w:t>
      </w:r>
    </w:p>
    <w:p w14:paraId="32904B3C"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64A30B05"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The current 2023/2024 respiratory infections season is the second season during which these three respiratory viruses (influenza, COVID-19, and RSV) have simultaneously spread at high levels.  </w:t>
      </w:r>
    </w:p>
    <w:p w14:paraId="5DEAB0EE"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Raging rates of these respiratory infections may have peaked during the holidays and appear to be on a downward track.  </w:t>
      </w:r>
    </w:p>
    <w:p w14:paraId="0F928CCE"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0430755C"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Influenza-like illness (ILI) is defined as fever (temperature of 100 °F or greater) and cough and/or sore throat, making it a good indicator for persons sick with general respiratory illnesses. Current ILI percentages in Nevada are higher than those observed in the same week during previous seasons.  However, they begun to decrease. Additionally, based on the state syndromic surveillance providers, </w:t>
      </w:r>
      <w:r w:rsidRPr="007F0957">
        <w:rPr>
          <w:rFonts w:asciiTheme="majorHAnsi" w:hAnsiTheme="majorHAnsi" w:cstheme="majorHAnsi"/>
          <w:b/>
          <w:bCs/>
          <w:color w:val="242424"/>
        </w:rPr>
        <w:t>ILI inpatient visits</w:t>
      </w:r>
      <w:r w:rsidRPr="007F0957">
        <w:rPr>
          <w:rFonts w:asciiTheme="majorHAnsi" w:hAnsiTheme="majorHAnsi" w:cstheme="majorHAnsi"/>
          <w:color w:val="242424"/>
        </w:rPr>
        <w:t xml:space="preserve"> are currently higher than observed for the same week during previous seasons.  However, emergency room (ER) and outpatient visits are beginning to decrease to levels comparable to those observed in previous seasons.  During the Morbidity and Mortality Week 5, the percentage of patients with ILI at Nevada sentinel providers was 3.3% (baseline 2.6%).  Nationally ILI was around 4.3% (baseline 2.9%) and regionally ILI was about 4.2% (baseline 3.6%).</w:t>
      </w:r>
    </w:p>
    <w:p w14:paraId="5212F894" w14:textId="77777777"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3CD71B69" w14:textId="404D421C"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Respiratory diseases (influenza, RSV, and COVID-19); hospitalizations continued to decrease during the most recent week. Influenza A has been the most reported influenza type for those hospitalized with the flu this season, and it was the most reported type from the Nevada State Public Health Laboratory and other laboratory partners.  However, a slight increase is being observed in influenza B cases.  There were 35 influenza hospitalizations reported in week 04 with a total of 1,075 total this season.  Four influenza-associated death were reported in Nevada in week 04 with a total of 69 deaths have been reported this </w:t>
      </w:r>
      <w:r w:rsidR="00AA3DDC" w:rsidRPr="007F0957">
        <w:rPr>
          <w:rFonts w:asciiTheme="majorHAnsi" w:hAnsiTheme="majorHAnsi" w:cstheme="majorHAnsi"/>
          <w:color w:val="242424"/>
        </w:rPr>
        <w:t>season.</w:t>
      </w:r>
    </w:p>
    <w:p w14:paraId="6EA3E7C3" w14:textId="77777777" w:rsidR="001916AC" w:rsidRPr="001916AC" w:rsidRDefault="001916AC"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37B41E61" w14:textId="77777777" w:rsidR="001C4AB9"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COVID-19 seems to have caused a larger number of hospitalizations and has also been involved in many more deaths than influenza and the Respiratory Syncytial Virus (RSV) combined.  About 11% </w:t>
      </w:r>
    </w:p>
    <w:p w14:paraId="2343563A" w14:textId="13FE52F9"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 xml:space="preserve">of all respiratory infections observed this season were due to the respiratory syncytial virus (RSV).  However, the activity of RSV seems to gradually decrease. </w:t>
      </w:r>
    </w:p>
    <w:p w14:paraId="694FA2B2"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2F216646" w14:textId="56C27970" w:rsidR="00EA6CA8" w:rsidRPr="007F0957"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lastRenderedPageBreak/>
        <w:t>The hospital and healthcare system infrastructure remain in good condition. The current hospital occupancy rate remains around 84%, and the</w:t>
      </w:r>
      <w:r w:rsidR="00D41070">
        <w:rPr>
          <w:rFonts w:asciiTheme="majorHAnsi" w:hAnsiTheme="majorHAnsi" w:cstheme="majorHAnsi"/>
          <w:color w:val="242424"/>
        </w:rPr>
        <w:t xml:space="preserve"> </w:t>
      </w:r>
      <w:r w:rsidR="00D41070" w:rsidRPr="007F0957">
        <w:rPr>
          <w:rFonts w:asciiTheme="majorHAnsi" w:hAnsiTheme="majorHAnsi" w:cstheme="majorHAnsi"/>
          <w:color w:val="242424"/>
        </w:rPr>
        <w:t>intensive care unit</w:t>
      </w:r>
      <w:r w:rsidRPr="007F0957">
        <w:rPr>
          <w:rFonts w:asciiTheme="majorHAnsi" w:hAnsiTheme="majorHAnsi" w:cstheme="majorHAnsi"/>
          <w:color w:val="242424"/>
        </w:rPr>
        <w:t xml:space="preserve"> </w:t>
      </w:r>
      <w:r w:rsidR="00D41070">
        <w:rPr>
          <w:rFonts w:asciiTheme="majorHAnsi" w:hAnsiTheme="majorHAnsi" w:cstheme="majorHAnsi"/>
          <w:color w:val="242424"/>
        </w:rPr>
        <w:t>(</w:t>
      </w:r>
      <w:r w:rsidRPr="007F0957">
        <w:rPr>
          <w:rFonts w:asciiTheme="majorHAnsi" w:hAnsiTheme="majorHAnsi" w:cstheme="majorHAnsi"/>
          <w:color w:val="242424"/>
        </w:rPr>
        <w:t>ICU</w:t>
      </w:r>
      <w:r w:rsidR="00D41070">
        <w:rPr>
          <w:rFonts w:asciiTheme="majorHAnsi" w:hAnsiTheme="majorHAnsi" w:cstheme="majorHAnsi"/>
          <w:color w:val="242424"/>
        </w:rPr>
        <w:t>)</w:t>
      </w:r>
      <w:r w:rsidRPr="007F0957">
        <w:rPr>
          <w:rFonts w:asciiTheme="majorHAnsi" w:hAnsiTheme="majorHAnsi" w:cstheme="majorHAnsi"/>
          <w:color w:val="242424"/>
        </w:rPr>
        <w:t xml:space="preserve"> occupancy rate is about 80%. The pediatric bed occupancy rate is 69%, and the Pediatric intensive care unit (</w:t>
      </w:r>
      <w:r w:rsidR="00D41070">
        <w:rPr>
          <w:rFonts w:asciiTheme="majorHAnsi" w:hAnsiTheme="majorHAnsi" w:cstheme="majorHAnsi"/>
          <w:color w:val="242424"/>
        </w:rPr>
        <w:t>P</w:t>
      </w:r>
      <w:r w:rsidRPr="007F0957">
        <w:rPr>
          <w:rFonts w:asciiTheme="majorHAnsi" w:hAnsiTheme="majorHAnsi" w:cstheme="majorHAnsi"/>
          <w:color w:val="242424"/>
        </w:rPr>
        <w:t>ICU) bed occupancy rate is currently reported to be at 66%. Emergency room (ER) visits (7-day average) were 3,792 daily visits. However, “paradoxically” on the Superbowl Sunday ER visits fell significantly below the 7-day average for Clark County with just 2,763 reported visits.</w:t>
      </w:r>
    </w:p>
    <w:p w14:paraId="2F5D5C94" w14:textId="77777777" w:rsidR="00EA6CA8" w:rsidRPr="00DB140A"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2BB568BE" w14:textId="2F495DDA"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7F0957">
        <w:rPr>
          <w:rFonts w:asciiTheme="majorHAnsi" w:hAnsiTheme="majorHAnsi" w:cstheme="majorHAnsi"/>
          <w:color w:val="242424"/>
        </w:rPr>
        <w:t>On February 9, CDC reported that a new variant BA.2.87.1 of SARS-CoV-2</w:t>
      </w:r>
      <w:r w:rsidR="00A457FC">
        <w:rPr>
          <w:rFonts w:asciiTheme="majorHAnsi" w:hAnsiTheme="majorHAnsi" w:cstheme="majorHAnsi"/>
          <w:color w:val="242424"/>
        </w:rPr>
        <w:t xml:space="preserve"> </w:t>
      </w:r>
      <w:r w:rsidRPr="007F0957">
        <w:rPr>
          <w:rFonts w:asciiTheme="majorHAnsi" w:hAnsiTheme="majorHAnsi" w:cstheme="majorHAnsi"/>
          <w:color w:val="242424"/>
        </w:rPr>
        <w:t>has emerged. However, no clinical cases of BA.2.87.1 have been identified in the United States or anywhere outside of South Africa. CDC is closely tracking BA.2.87.1 because it has more than 30 changes/mutations in the spike protein of the virus when compared with XBB.1.5.</w:t>
      </w:r>
      <w:r>
        <w:rPr>
          <w:rFonts w:asciiTheme="majorHAnsi" w:hAnsiTheme="majorHAnsi" w:cstheme="majorHAnsi"/>
          <w:color w:val="242424"/>
        </w:rPr>
        <w:t xml:space="preserve">  </w:t>
      </w:r>
    </w:p>
    <w:p w14:paraId="6F68C66D" w14:textId="77777777" w:rsidR="00EA6CA8" w:rsidRPr="00DB140A"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p>
    <w:p w14:paraId="2191283B" w14:textId="77777777" w:rsidR="00EA6CA8" w:rsidRPr="006C0FC1"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r w:rsidRPr="006C0FC1">
        <w:rPr>
          <w:rFonts w:asciiTheme="majorHAnsi" w:hAnsiTheme="majorHAnsi" w:cstheme="majorHAnsi"/>
          <w:b/>
          <w:bCs/>
          <w:color w:val="242424"/>
          <w:u w:val="single"/>
        </w:rPr>
        <w:t xml:space="preserve">Vaccines </w:t>
      </w:r>
    </w:p>
    <w:p w14:paraId="58C110CF"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sz w:val="8"/>
          <w:szCs w:val="8"/>
          <w:u w:val="single"/>
        </w:rPr>
      </w:pPr>
    </w:p>
    <w:p w14:paraId="01AEC9F1" w14:textId="77777777" w:rsidR="00EA6CA8" w:rsidRPr="006C0FC1"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6C0FC1">
        <w:rPr>
          <w:rFonts w:asciiTheme="majorHAnsi" w:hAnsiTheme="majorHAnsi" w:cstheme="majorHAnsi"/>
          <w:color w:val="242424"/>
        </w:rPr>
        <w:t>The updated COVID-19 vaccine can help increase protection against a diverse range of variants, as laboratory surveillance demonstrated that the JN.1 continues to be the dominant variant in Nevada and nationwide. JN.1 is about 3 to 5 times less susceptible to neutralizing antibodies than the XBB.1.5 variant that is included in the updated booster. However, most scientists are not very concerned about this reduced susceptibility because the titers of neutralizing antibodies remain in a range that is thought to be effective against a diverse range of variants.  Fortunately, laboratory research and rates of COVID-19 hospitalizations and deaths suggest that the XBB.1.5 vaccine still protects against severe illness in the JN.1.</w:t>
      </w:r>
    </w:p>
    <w:p w14:paraId="2985D5E1" w14:textId="77777777" w:rsidR="00EA6CA8" w:rsidRPr="006C0FC1"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0E6ADC7B" w14:textId="64972E36" w:rsidR="00EA6CA8" w:rsidRPr="006C0FC1"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6C0FC1">
        <w:rPr>
          <w:rFonts w:asciiTheme="majorHAnsi" w:hAnsiTheme="majorHAnsi" w:cstheme="majorHAnsi"/>
          <w:color w:val="242424"/>
        </w:rPr>
        <w:t>CDC recently published a Morbidity and Mortality Weekly Report (MM</w:t>
      </w:r>
      <w:r w:rsidR="004475D5">
        <w:rPr>
          <w:rFonts w:asciiTheme="majorHAnsi" w:hAnsiTheme="majorHAnsi" w:cstheme="majorHAnsi"/>
          <w:color w:val="242424"/>
        </w:rPr>
        <w:t>W</w:t>
      </w:r>
      <w:r w:rsidRPr="006C0FC1">
        <w:rPr>
          <w:rFonts w:asciiTheme="majorHAnsi" w:hAnsiTheme="majorHAnsi" w:cstheme="majorHAnsi"/>
          <w:color w:val="242424"/>
        </w:rPr>
        <w:t>R) demonstrated that the updated monovalent COVID-19 vaccine provided 54% protection against symptomatic COVID-19 infection</w:t>
      </w:r>
      <w:r w:rsidR="0010623F">
        <w:rPr>
          <w:rFonts w:asciiTheme="majorHAnsi" w:hAnsiTheme="majorHAnsi" w:cstheme="majorHAnsi"/>
          <w:color w:val="242424"/>
        </w:rPr>
        <w:t>s</w:t>
      </w:r>
      <w:r w:rsidRPr="006C0FC1">
        <w:rPr>
          <w:rFonts w:asciiTheme="majorHAnsi" w:hAnsiTheme="majorHAnsi" w:cstheme="majorHAnsi"/>
          <w:color w:val="242424"/>
        </w:rPr>
        <w:t xml:space="preserve"> in those recently vaccinated with the updated fall booster compared with those who did not receive an updated vaccine dose. </w:t>
      </w:r>
    </w:p>
    <w:p w14:paraId="34990698" w14:textId="77777777" w:rsidR="00EA6CA8" w:rsidRPr="003A0E8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3798EF82" w14:textId="66BBFE8F" w:rsidR="00C707EA" w:rsidRDefault="00BC5C79" w:rsidP="00EA6CA8">
      <w:pPr>
        <w:pStyle w:val="NormalWeb"/>
        <w:shd w:val="clear" w:color="auto" w:fill="FFFFFF"/>
        <w:spacing w:before="0" w:beforeAutospacing="0" w:after="0" w:afterAutospacing="0"/>
        <w:jc w:val="both"/>
        <w:rPr>
          <w:rFonts w:asciiTheme="majorHAnsi" w:hAnsiTheme="majorHAnsi" w:cstheme="majorHAnsi"/>
          <w:color w:val="242424"/>
        </w:rPr>
      </w:pPr>
      <w:r w:rsidRPr="006C0FC1">
        <w:rPr>
          <w:rFonts w:asciiTheme="majorHAnsi" w:hAnsiTheme="majorHAnsi" w:cstheme="majorHAnsi"/>
          <w:color w:val="242424"/>
        </w:rPr>
        <w:t xml:space="preserve">Unlike the original COVID-19 vaccine series that about 80% of the American adults received, the most recently updated fall booster was far less received in Nevada and nationwide.   </w:t>
      </w:r>
      <w:r w:rsidR="00EA6CA8" w:rsidRPr="006C0FC1">
        <w:rPr>
          <w:rFonts w:asciiTheme="majorHAnsi" w:hAnsiTheme="majorHAnsi" w:cstheme="majorHAnsi"/>
          <w:color w:val="242424"/>
        </w:rPr>
        <w:t xml:space="preserve">According to CDC, </w:t>
      </w:r>
      <w:r w:rsidR="001E3FCD">
        <w:rPr>
          <w:rFonts w:asciiTheme="majorHAnsi" w:hAnsiTheme="majorHAnsi" w:cstheme="majorHAnsi"/>
          <w:color w:val="242424"/>
        </w:rPr>
        <w:t>a</w:t>
      </w:r>
      <w:r w:rsidR="00EA6CA8" w:rsidRPr="006C0FC1">
        <w:rPr>
          <w:rFonts w:asciiTheme="majorHAnsi" w:hAnsiTheme="majorHAnsi" w:cstheme="majorHAnsi"/>
          <w:color w:val="242424"/>
        </w:rPr>
        <w:t>s of Dec. 30, 2023,</w:t>
      </w:r>
      <w:r w:rsidR="0069728A" w:rsidRPr="006C0FC1">
        <w:rPr>
          <w:rFonts w:asciiTheme="majorHAnsi" w:hAnsiTheme="majorHAnsi" w:cstheme="majorHAnsi"/>
          <w:color w:val="242424"/>
        </w:rPr>
        <w:t xml:space="preserve"> the uptake of this most recent boosters is under 10% for children, and slightly higher among adults.  Only about one third of the elderly received the most recent COVID-19 vaccine.  Unfortunately, only about 23% of eligible American adults </w:t>
      </w:r>
      <w:r w:rsidR="00E30130" w:rsidRPr="006C0FC1">
        <w:rPr>
          <w:rFonts w:asciiTheme="majorHAnsi" w:hAnsiTheme="majorHAnsi" w:cstheme="majorHAnsi"/>
          <w:color w:val="242424"/>
        </w:rPr>
        <w:t xml:space="preserve">and 38% of adults 75 or </w:t>
      </w:r>
      <w:r w:rsidR="001E3FCD" w:rsidRPr="006C0FC1">
        <w:rPr>
          <w:rFonts w:asciiTheme="majorHAnsi" w:hAnsiTheme="majorHAnsi" w:cstheme="majorHAnsi"/>
          <w:color w:val="242424"/>
        </w:rPr>
        <w:t>older have</w:t>
      </w:r>
      <w:r w:rsidR="0069728A" w:rsidRPr="006C0FC1">
        <w:rPr>
          <w:rFonts w:asciiTheme="majorHAnsi" w:hAnsiTheme="majorHAnsi" w:cstheme="majorHAnsi"/>
          <w:color w:val="242424"/>
        </w:rPr>
        <w:t xml:space="preserve"> received the updated vaccin</w:t>
      </w:r>
      <w:r w:rsidR="001E3FCD">
        <w:rPr>
          <w:rFonts w:asciiTheme="majorHAnsi" w:hAnsiTheme="majorHAnsi" w:cstheme="majorHAnsi"/>
          <w:color w:val="242424"/>
        </w:rPr>
        <w:t xml:space="preserve">e, and in comparison </w:t>
      </w:r>
      <w:r w:rsidR="001E3FCD" w:rsidRPr="006C0FC1">
        <w:rPr>
          <w:rFonts w:asciiTheme="majorHAnsi" w:hAnsiTheme="majorHAnsi" w:cstheme="majorHAnsi"/>
          <w:color w:val="242424"/>
        </w:rPr>
        <w:t>less</w:t>
      </w:r>
      <w:r w:rsidR="0069728A" w:rsidRPr="006C0FC1">
        <w:rPr>
          <w:rFonts w:asciiTheme="majorHAnsi" w:hAnsiTheme="majorHAnsi" w:cstheme="majorHAnsi"/>
          <w:color w:val="242424"/>
        </w:rPr>
        <w:t xml:space="preserve"> than</w:t>
      </w:r>
      <w:r w:rsidR="00A811BD">
        <w:rPr>
          <w:rFonts w:asciiTheme="majorHAnsi" w:hAnsiTheme="majorHAnsi" w:cstheme="majorHAnsi"/>
          <w:color w:val="242424"/>
        </w:rPr>
        <w:t xml:space="preserve"> </w:t>
      </w:r>
      <w:r w:rsidR="0069728A" w:rsidRPr="006C0FC1">
        <w:rPr>
          <w:rFonts w:asciiTheme="majorHAnsi" w:hAnsiTheme="majorHAnsi" w:cstheme="majorHAnsi"/>
          <w:color w:val="242424"/>
        </w:rPr>
        <w:t xml:space="preserve">18% </w:t>
      </w:r>
      <w:r w:rsidR="001E3FCD">
        <w:rPr>
          <w:rFonts w:asciiTheme="majorHAnsi" w:hAnsiTheme="majorHAnsi" w:cstheme="majorHAnsi"/>
          <w:color w:val="242424"/>
        </w:rPr>
        <w:t xml:space="preserve">of the adults in Nevada </w:t>
      </w:r>
      <w:r w:rsidR="0069728A" w:rsidRPr="006C0FC1">
        <w:rPr>
          <w:rFonts w:asciiTheme="majorHAnsi" w:hAnsiTheme="majorHAnsi" w:cstheme="majorHAnsi"/>
          <w:color w:val="242424"/>
        </w:rPr>
        <w:t>received this shot</w:t>
      </w:r>
      <w:r w:rsidR="001E3FCD">
        <w:rPr>
          <w:rFonts w:asciiTheme="majorHAnsi" w:hAnsiTheme="majorHAnsi" w:cstheme="majorHAnsi"/>
          <w:color w:val="242424"/>
        </w:rPr>
        <w:t>.</w:t>
      </w:r>
      <w:r w:rsidR="0069728A" w:rsidRPr="006C0FC1">
        <w:rPr>
          <w:rFonts w:asciiTheme="majorHAnsi" w:hAnsiTheme="majorHAnsi" w:cstheme="majorHAnsi"/>
          <w:color w:val="242424"/>
        </w:rPr>
        <w:t xml:space="preserve"> </w:t>
      </w:r>
    </w:p>
    <w:p w14:paraId="234EE1B6" w14:textId="77777777" w:rsidR="00C707EA" w:rsidRPr="003A0E87" w:rsidRDefault="00C707EA"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6D9EB9A0" w14:textId="30A93751" w:rsidR="00EA6CA8" w:rsidRPr="006C0FC1"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6C0FC1">
        <w:rPr>
          <w:rFonts w:asciiTheme="majorHAnsi" w:hAnsiTheme="majorHAnsi" w:cstheme="majorHAnsi"/>
          <w:color w:val="242424"/>
        </w:rPr>
        <w:t>Concerns remain about the lack of uptake of this vaccine. But it’s never too late as COVID-19 is and will be circulating all year long.  The currently used vaccine protects against a number of </w:t>
      </w:r>
      <w:hyperlink r:id="rId15" w:history="1">
        <w:r w:rsidRPr="006C0FC1">
          <w:rPr>
            <w:rFonts w:asciiTheme="majorHAnsi" w:hAnsiTheme="majorHAnsi" w:cstheme="majorHAnsi"/>
            <w:color w:val="242424"/>
          </w:rPr>
          <w:t>COVID variants</w:t>
        </w:r>
      </w:hyperlink>
      <w:r w:rsidRPr="006C0FC1">
        <w:rPr>
          <w:rFonts w:asciiTheme="majorHAnsi" w:hAnsiTheme="majorHAnsi" w:cstheme="majorHAnsi"/>
          <w:color w:val="242424"/>
        </w:rPr>
        <w:t>, including the XBB variants that predominated this past fall and the JN.1 variant that became most common starting in December2023.</w:t>
      </w:r>
    </w:p>
    <w:p w14:paraId="7D44291B" w14:textId="77777777" w:rsidR="00EA6CA8" w:rsidRPr="003A0E8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3AE9E5EC" w14:textId="6FB567AA"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6C0FC1">
        <w:rPr>
          <w:rFonts w:asciiTheme="majorHAnsi" w:hAnsiTheme="majorHAnsi" w:cstheme="majorHAnsi"/>
          <w:color w:val="242424"/>
        </w:rPr>
        <w:t xml:space="preserve">Immunization with the recently updated fall booster COVID-19 vaccine is associated with much lower chances of developing serious </w:t>
      </w:r>
      <w:r w:rsidR="00AA3DDC" w:rsidRPr="006C0FC1">
        <w:rPr>
          <w:rFonts w:asciiTheme="majorHAnsi" w:hAnsiTheme="majorHAnsi" w:cstheme="majorHAnsi"/>
          <w:color w:val="242424"/>
        </w:rPr>
        <w:t>illness and</w:t>
      </w:r>
      <w:r w:rsidRPr="006C0FC1">
        <w:rPr>
          <w:rFonts w:asciiTheme="majorHAnsi" w:hAnsiTheme="majorHAnsi" w:cstheme="majorHAnsi"/>
          <w:color w:val="242424"/>
        </w:rPr>
        <w:t xml:space="preserve"> requiring hospitalization or dying from COVID. This 54% protection provided by the most recent vaccine is comparable to the 60% or so protection against symptoms associated with receiving the seasonal influenza vaccine each year.</w:t>
      </w:r>
    </w:p>
    <w:p w14:paraId="223FF947" w14:textId="77777777" w:rsidR="00AA3DDC" w:rsidRDefault="00AA3DDC"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p>
    <w:p w14:paraId="3ED55DEC" w14:textId="77777777" w:rsidR="00C707EA" w:rsidRDefault="00C707EA"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p>
    <w:p w14:paraId="3D16F886" w14:textId="77777777" w:rsidR="00AE2E60" w:rsidRDefault="00AE2E60"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p>
    <w:p w14:paraId="6DFCA748" w14:textId="7ED3E688" w:rsidR="00EA6CA8" w:rsidRPr="005B1363"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4F1A98">
        <w:rPr>
          <w:rFonts w:asciiTheme="majorHAnsi" w:hAnsiTheme="majorHAnsi" w:cstheme="majorHAnsi"/>
          <w:b/>
          <w:bCs/>
          <w:color w:val="242424"/>
          <w:u w:val="single"/>
        </w:rPr>
        <w:t xml:space="preserve">Increase in Tuberculosis Cases </w:t>
      </w:r>
    </w:p>
    <w:p w14:paraId="10AA548B" w14:textId="77777777" w:rsidR="00EA6CA8" w:rsidRPr="007122F6"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717A14D0" w14:textId="77777777" w:rsidR="00EA6CA8" w:rsidRPr="00D07372"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 xml:space="preserve">Nevada experienced a significant increase in infectious tuberculosis (TB) cases, with a total of 78 cases compared to the previous five years that had case counts below 64.  Of a great concern, </w:t>
      </w:r>
      <w:r>
        <w:rPr>
          <w:rFonts w:asciiTheme="majorHAnsi" w:hAnsiTheme="majorHAnsi" w:cstheme="majorHAnsi"/>
          <w:color w:val="242424"/>
        </w:rPr>
        <w:t xml:space="preserve">that the previous year </w:t>
      </w:r>
      <w:r w:rsidRPr="00D07372">
        <w:rPr>
          <w:rFonts w:asciiTheme="majorHAnsi" w:hAnsiTheme="majorHAnsi" w:cstheme="majorHAnsi"/>
          <w:color w:val="242424"/>
        </w:rPr>
        <w:t xml:space="preserve">2023 also included five cases of infectious TB among both staff </w:t>
      </w:r>
      <w:r>
        <w:rPr>
          <w:rFonts w:asciiTheme="majorHAnsi" w:hAnsiTheme="majorHAnsi" w:cstheme="majorHAnsi"/>
          <w:color w:val="242424"/>
        </w:rPr>
        <w:t>with four cases</w:t>
      </w:r>
      <w:r w:rsidRPr="00D07372">
        <w:rPr>
          <w:rFonts w:asciiTheme="majorHAnsi" w:hAnsiTheme="majorHAnsi" w:cstheme="majorHAnsi"/>
          <w:color w:val="242424"/>
        </w:rPr>
        <w:t xml:space="preserve"> and </w:t>
      </w:r>
      <w:r>
        <w:rPr>
          <w:rFonts w:asciiTheme="majorHAnsi" w:hAnsiTheme="majorHAnsi" w:cstheme="majorHAnsi"/>
          <w:color w:val="242424"/>
        </w:rPr>
        <w:t xml:space="preserve">one case among </w:t>
      </w:r>
      <w:r w:rsidRPr="00D07372">
        <w:rPr>
          <w:rFonts w:asciiTheme="majorHAnsi" w:hAnsiTheme="majorHAnsi" w:cstheme="majorHAnsi"/>
          <w:color w:val="242424"/>
        </w:rPr>
        <w:t>students</w:t>
      </w:r>
      <w:r>
        <w:rPr>
          <w:rFonts w:asciiTheme="majorHAnsi" w:hAnsiTheme="majorHAnsi" w:cstheme="majorHAnsi"/>
          <w:color w:val="242424"/>
        </w:rPr>
        <w:t xml:space="preserve"> </w:t>
      </w:r>
      <w:r w:rsidRPr="00D07372">
        <w:rPr>
          <w:rFonts w:asciiTheme="majorHAnsi" w:hAnsiTheme="majorHAnsi" w:cstheme="majorHAnsi"/>
          <w:color w:val="242424"/>
        </w:rPr>
        <w:t>within Clark County School District (CCSD) in Las Vegas. These cases have resulted in large scale contact investigations requiring significant public health, health care and school district resources.   </w:t>
      </w:r>
    </w:p>
    <w:p w14:paraId="737D51DE"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29BA977A" w14:textId="646C72FD" w:rsidR="00EA6CA8" w:rsidRPr="00D07372"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 xml:space="preserve">In June of 2023, </w:t>
      </w:r>
      <w:r>
        <w:rPr>
          <w:rFonts w:asciiTheme="majorHAnsi" w:hAnsiTheme="majorHAnsi" w:cstheme="majorHAnsi"/>
          <w:color w:val="242424"/>
        </w:rPr>
        <w:t xml:space="preserve">a confirmed </w:t>
      </w:r>
      <w:r w:rsidRPr="00D07372">
        <w:rPr>
          <w:rFonts w:asciiTheme="majorHAnsi" w:hAnsiTheme="majorHAnsi" w:cstheme="majorHAnsi"/>
          <w:color w:val="242424"/>
        </w:rPr>
        <w:t xml:space="preserve">transmission of TB was documented in four students associated with a schoolteacher </w:t>
      </w:r>
      <w:r>
        <w:rPr>
          <w:rFonts w:asciiTheme="majorHAnsi" w:hAnsiTheme="majorHAnsi" w:cstheme="majorHAnsi"/>
          <w:color w:val="242424"/>
        </w:rPr>
        <w:t xml:space="preserve">that had </w:t>
      </w:r>
      <w:r w:rsidRPr="00D07372">
        <w:rPr>
          <w:rFonts w:asciiTheme="majorHAnsi" w:hAnsiTheme="majorHAnsi" w:cstheme="majorHAnsi"/>
          <w:color w:val="242424"/>
        </w:rPr>
        <w:t xml:space="preserve">infectious TB </w:t>
      </w:r>
      <w:r>
        <w:rPr>
          <w:rFonts w:asciiTheme="majorHAnsi" w:hAnsiTheme="majorHAnsi" w:cstheme="majorHAnsi"/>
          <w:color w:val="242424"/>
        </w:rPr>
        <w:t>at</w:t>
      </w:r>
      <w:r w:rsidRPr="00D07372">
        <w:rPr>
          <w:rFonts w:asciiTheme="majorHAnsi" w:hAnsiTheme="majorHAnsi" w:cstheme="majorHAnsi"/>
          <w:color w:val="242424"/>
        </w:rPr>
        <w:t xml:space="preserve"> an elementary</w:t>
      </w:r>
      <w:r>
        <w:rPr>
          <w:rFonts w:asciiTheme="majorHAnsi" w:hAnsiTheme="majorHAnsi" w:cstheme="majorHAnsi"/>
          <w:color w:val="242424"/>
        </w:rPr>
        <w:t xml:space="preserve"> school</w:t>
      </w:r>
      <w:r w:rsidRPr="00D07372">
        <w:rPr>
          <w:rFonts w:asciiTheme="majorHAnsi" w:hAnsiTheme="majorHAnsi" w:cstheme="majorHAnsi"/>
          <w:color w:val="242424"/>
        </w:rPr>
        <w:t xml:space="preserve"> </w:t>
      </w:r>
      <w:r w:rsidR="005578BD">
        <w:rPr>
          <w:rFonts w:asciiTheme="majorHAnsi" w:hAnsiTheme="majorHAnsi" w:cstheme="majorHAnsi"/>
          <w:color w:val="242424"/>
        </w:rPr>
        <w:t xml:space="preserve">which </w:t>
      </w:r>
      <w:r w:rsidRPr="00D07372">
        <w:rPr>
          <w:rFonts w:asciiTheme="majorHAnsi" w:hAnsiTheme="majorHAnsi" w:cstheme="majorHAnsi"/>
          <w:color w:val="242424"/>
        </w:rPr>
        <w:t>resulted in several large-scale contact investigations.  Hundreds of young students were required to be tested; have blood draws and be regularly monitored, which is difficult on them and their affected families. </w:t>
      </w:r>
    </w:p>
    <w:p w14:paraId="7651F776"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418F6965" w14:textId="77777777"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The Nevada Division of Public and Behavioral Health (DPBH) has made recommendations to the local health authority</w:t>
      </w:r>
      <w:r>
        <w:rPr>
          <w:rFonts w:asciiTheme="majorHAnsi" w:hAnsiTheme="majorHAnsi" w:cstheme="majorHAnsi"/>
          <w:color w:val="242424"/>
        </w:rPr>
        <w:t xml:space="preserve"> </w:t>
      </w:r>
      <w:r w:rsidRPr="00D07372">
        <w:rPr>
          <w:rFonts w:asciiTheme="majorHAnsi" w:hAnsiTheme="majorHAnsi" w:cstheme="majorHAnsi"/>
          <w:color w:val="242424"/>
        </w:rPr>
        <w:t>to work closely with CCSD on TB screening and testing policies for staff, but there has been difficulty accomplishing th</w:t>
      </w:r>
      <w:r>
        <w:rPr>
          <w:rFonts w:asciiTheme="majorHAnsi" w:hAnsiTheme="majorHAnsi" w:cstheme="majorHAnsi"/>
          <w:color w:val="242424"/>
        </w:rPr>
        <w:t>ese tasks</w:t>
      </w:r>
      <w:r w:rsidRPr="00D07372">
        <w:rPr>
          <w:rFonts w:asciiTheme="majorHAnsi" w:hAnsiTheme="majorHAnsi" w:cstheme="majorHAnsi"/>
          <w:color w:val="242424"/>
        </w:rPr>
        <w:t xml:space="preserve"> given that CDC does not currently list the school setting for TB screening within their recommendations. CDC recommendations are limited </w:t>
      </w:r>
      <w:r>
        <w:rPr>
          <w:rFonts w:asciiTheme="majorHAnsi" w:hAnsiTheme="majorHAnsi" w:cstheme="majorHAnsi"/>
          <w:color w:val="242424"/>
        </w:rPr>
        <w:t xml:space="preserve">only </w:t>
      </w:r>
      <w:r w:rsidRPr="00D07372">
        <w:rPr>
          <w:rFonts w:asciiTheme="majorHAnsi" w:hAnsiTheme="majorHAnsi" w:cstheme="majorHAnsi"/>
          <w:color w:val="242424"/>
        </w:rPr>
        <w:t xml:space="preserve">to healthcare settings.  </w:t>
      </w:r>
    </w:p>
    <w:p w14:paraId="35CB2787"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4DB825BB" w14:textId="77777777" w:rsidR="00EA6CA8" w:rsidRPr="00D07372"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In light of the repeated exposure events in Nevada schools and the alarming current infectious TB trends</w:t>
      </w:r>
      <w:r>
        <w:rPr>
          <w:rFonts w:asciiTheme="majorHAnsi" w:hAnsiTheme="majorHAnsi" w:cstheme="majorHAnsi"/>
          <w:color w:val="242424"/>
        </w:rPr>
        <w:t xml:space="preserve"> in Nevada and nationally, the DPBH </w:t>
      </w:r>
      <w:r w:rsidRPr="00D07372">
        <w:rPr>
          <w:rFonts w:asciiTheme="majorHAnsi" w:hAnsiTheme="majorHAnsi" w:cstheme="majorHAnsi"/>
          <w:color w:val="242424"/>
        </w:rPr>
        <w:t xml:space="preserve">submitted an official request to CDC asking that CDC considers making updates to the TB screening and testing recommendations to include other/additional settings, such as </w:t>
      </w:r>
      <w:r>
        <w:rPr>
          <w:rFonts w:asciiTheme="majorHAnsi" w:hAnsiTheme="majorHAnsi" w:cstheme="majorHAnsi"/>
          <w:color w:val="242424"/>
        </w:rPr>
        <w:t xml:space="preserve">the </w:t>
      </w:r>
      <w:r w:rsidRPr="00D07372">
        <w:rPr>
          <w:rFonts w:asciiTheme="majorHAnsi" w:hAnsiTheme="majorHAnsi" w:cstheme="majorHAnsi"/>
          <w:color w:val="242424"/>
        </w:rPr>
        <w:t>K-12 schools.</w:t>
      </w:r>
      <w:r>
        <w:rPr>
          <w:rFonts w:asciiTheme="majorHAnsi" w:hAnsiTheme="majorHAnsi" w:cstheme="majorHAnsi"/>
          <w:color w:val="242424"/>
        </w:rPr>
        <w:t xml:space="preserve"> </w:t>
      </w:r>
      <w:r w:rsidRPr="00D07372">
        <w:rPr>
          <w:rFonts w:asciiTheme="majorHAnsi" w:hAnsiTheme="majorHAnsi" w:cstheme="majorHAnsi"/>
          <w:color w:val="242424"/>
        </w:rPr>
        <w:t>The DPBH is also exploring options to start requiring TB screening and testing in K-12 schools</w:t>
      </w:r>
      <w:r>
        <w:rPr>
          <w:rFonts w:asciiTheme="majorHAnsi" w:hAnsiTheme="majorHAnsi" w:cstheme="majorHAnsi"/>
          <w:color w:val="242424"/>
        </w:rPr>
        <w:t xml:space="preserve"> in Nevada </w:t>
      </w:r>
      <w:r w:rsidRPr="00D07372">
        <w:rPr>
          <w:rFonts w:asciiTheme="majorHAnsi" w:hAnsiTheme="majorHAnsi" w:cstheme="majorHAnsi"/>
          <w:color w:val="242424"/>
        </w:rPr>
        <w:t>through policy changes.  Our goal is to ensure that we are protecting Nevada students and staff, and their families from being exposed to and</w:t>
      </w:r>
      <w:r>
        <w:rPr>
          <w:rFonts w:asciiTheme="majorHAnsi" w:hAnsiTheme="majorHAnsi" w:cstheme="majorHAnsi"/>
          <w:color w:val="242424"/>
        </w:rPr>
        <w:t>/or</w:t>
      </w:r>
      <w:r w:rsidRPr="00D07372">
        <w:rPr>
          <w:rFonts w:asciiTheme="majorHAnsi" w:hAnsiTheme="majorHAnsi" w:cstheme="majorHAnsi"/>
          <w:color w:val="242424"/>
        </w:rPr>
        <w:t xml:space="preserve"> acquiring TB infectious while at schools, through upstream policy changes.</w:t>
      </w:r>
    </w:p>
    <w:p w14:paraId="2C8C5FE9"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6"/>
          <w:szCs w:val="16"/>
        </w:rPr>
      </w:pPr>
    </w:p>
    <w:p w14:paraId="2048337B" w14:textId="77777777" w:rsidR="00EA6CA8" w:rsidRPr="00BB409A" w:rsidRDefault="00EA6CA8" w:rsidP="00EA6CA8">
      <w:pPr>
        <w:pStyle w:val="NormalWeb"/>
        <w:shd w:val="clear" w:color="auto" w:fill="FFFFFF"/>
        <w:spacing w:before="0" w:beforeAutospacing="0" w:after="0" w:afterAutospacing="0"/>
        <w:jc w:val="both"/>
        <w:rPr>
          <w:rFonts w:asciiTheme="majorHAnsi" w:hAnsiTheme="majorHAnsi" w:cstheme="majorHAnsi"/>
          <w:b/>
          <w:bCs/>
          <w:color w:val="242424"/>
          <w:u w:val="single"/>
        </w:rPr>
      </w:pPr>
      <w:r w:rsidRPr="00BB409A">
        <w:rPr>
          <w:rFonts w:asciiTheme="majorHAnsi" w:hAnsiTheme="majorHAnsi" w:cstheme="majorHAnsi"/>
          <w:b/>
          <w:bCs/>
          <w:color w:val="242424"/>
          <w:u w:val="single"/>
        </w:rPr>
        <w:t xml:space="preserve">Measles Update </w:t>
      </w:r>
    </w:p>
    <w:p w14:paraId="0CEBB441" w14:textId="77777777" w:rsidR="00EA6CA8" w:rsidRPr="00AA3DDC"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8"/>
          <w:szCs w:val="8"/>
        </w:rPr>
      </w:pPr>
    </w:p>
    <w:p w14:paraId="496EC86D" w14:textId="77777777" w:rsidR="00EA6CA8" w:rsidRPr="00D07372"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 xml:space="preserve">As a direct importation of measles </w:t>
      </w:r>
      <w:r>
        <w:rPr>
          <w:rFonts w:asciiTheme="majorHAnsi" w:hAnsiTheme="majorHAnsi" w:cstheme="majorHAnsi"/>
          <w:color w:val="242424"/>
        </w:rPr>
        <w:t xml:space="preserve">cases </w:t>
      </w:r>
      <w:r w:rsidRPr="00D07372">
        <w:rPr>
          <w:rFonts w:asciiTheme="majorHAnsi" w:hAnsiTheme="majorHAnsi" w:cstheme="majorHAnsi"/>
          <w:color w:val="242424"/>
        </w:rPr>
        <w:t xml:space="preserve">by international travelers, during 2023, a total of 58 measles cases were reported to CDC from 20 states.  And, as of February 15, a total of 20 measles cases were reported </w:t>
      </w:r>
      <w:r>
        <w:rPr>
          <w:rFonts w:asciiTheme="majorHAnsi" w:hAnsiTheme="majorHAnsi" w:cstheme="majorHAnsi"/>
          <w:color w:val="242424"/>
        </w:rPr>
        <w:t xml:space="preserve">to CDC from </w:t>
      </w:r>
      <w:r w:rsidRPr="00D07372">
        <w:rPr>
          <w:rFonts w:asciiTheme="majorHAnsi" w:hAnsiTheme="majorHAnsi" w:cstheme="majorHAnsi"/>
          <w:color w:val="242424"/>
        </w:rPr>
        <w:t>11 jurisdictions: Arizona, California, Georgia, Maryland, Minnesota, Missouri, New Jersey, New York City, Ohio, Pennsylvania, and Virginia.</w:t>
      </w:r>
      <w:r>
        <w:rPr>
          <w:rFonts w:asciiTheme="majorHAnsi" w:hAnsiTheme="majorHAnsi" w:cstheme="majorHAnsi"/>
          <w:color w:val="242424"/>
        </w:rPr>
        <w:t xml:space="preserve">  </w:t>
      </w:r>
    </w:p>
    <w:p w14:paraId="3A0BDAE2" w14:textId="77777777" w:rsidR="00EA6CA8" w:rsidRPr="002E4BD0"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73D8EF68" w14:textId="77777777" w:rsidR="00EA6CA8" w:rsidRPr="00D07372"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Pr>
          <w:rFonts w:asciiTheme="majorHAnsi" w:hAnsiTheme="majorHAnsi" w:cstheme="majorHAnsi"/>
          <w:color w:val="242424"/>
        </w:rPr>
        <w:t xml:space="preserve">Most </w:t>
      </w:r>
      <w:r w:rsidRPr="00D07372">
        <w:rPr>
          <w:rFonts w:asciiTheme="majorHAnsi" w:hAnsiTheme="majorHAnsi" w:cstheme="majorHAnsi"/>
          <w:color w:val="242424"/>
        </w:rPr>
        <w:t xml:space="preserve">of these cases were among children and adolescents who </w:t>
      </w:r>
      <w:r>
        <w:rPr>
          <w:rFonts w:asciiTheme="majorHAnsi" w:hAnsiTheme="majorHAnsi" w:cstheme="majorHAnsi"/>
          <w:color w:val="242424"/>
        </w:rPr>
        <w:t xml:space="preserve">were inadequately vaccinated or </w:t>
      </w:r>
      <w:r w:rsidRPr="00D07372">
        <w:rPr>
          <w:rFonts w:asciiTheme="majorHAnsi" w:hAnsiTheme="majorHAnsi" w:cstheme="majorHAnsi"/>
          <w:color w:val="242424"/>
        </w:rPr>
        <w:t>had not received a measles-containing vaccine (</w:t>
      </w:r>
      <w:hyperlink r:id="rId16" w:history="1">
        <w:r w:rsidRPr="00D07372">
          <w:rPr>
            <w:rFonts w:asciiTheme="majorHAnsi" w:hAnsiTheme="majorHAnsi" w:cstheme="majorHAnsi"/>
            <w:color w:val="242424"/>
          </w:rPr>
          <w:t>MMR</w:t>
        </w:r>
      </w:hyperlink>
      <w:r w:rsidRPr="00D07372">
        <w:rPr>
          <w:rFonts w:asciiTheme="majorHAnsi" w:hAnsiTheme="majorHAnsi" w:cstheme="majorHAnsi"/>
          <w:color w:val="242424"/>
        </w:rPr>
        <w:t> or MMRV), even if age eligible.</w:t>
      </w:r>
      <w:r>
        <w:rPr>
          <w:rFonts w:asciiTheme="majorHAnsi" w:hAnsiTheme="majorHAnsi" w:cstheme="majorHAnsi"/>
          <w:color w:val="242424"/>
        </w:rPr>
        <w:t xml:space="preserve"> </w:t>
      </w:r>
      <w:r w:rsidRPr="00D07372">
        <w:rPr>
          <w:rFonts w:asciiTheme="majorHAnsi" w:hAnsiTheme="majorHAnsi" w:cstheme="majorHAnsi"/>
          <w:color w:val="242424"/>
        </w:rPr>
        <w:t>Infected people are contagious from 4 days before the rash starts through 4 days afterwards.</w:t>
      </w:r>
    </w:p>
    <w:p w14:paraId="64656AC8" w14:textId="77777777" w:rsidR="00EA6CA8" w:rsidRPr="002E4BD0"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21BE5A31" w14:textId="77777777"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sidRPr="00D07372">
        <w:rPr>
          <w:rFonts w:asciiTheme="majorHAnsi" w:hAnsiTheme="majorHAnsi" w:cstheme="majorHAnsi"/>
          <w:color w:val="242424"/>
        </w:rPr>
        <w:t>Measles cases often originate from unvaccinated or under vaccinated people who travel internationally and then transmit the disease to others who are not adequately vaccinated against measles. The increased number of measles importations seen in recent weeks is reflective of a rise in global measles cases and a growing </w:t>
      </w:r>
      <w:hyperlink r:id="rId17" w:history="1">
        <w:r w:rsidRPr="00D07372">
          <w:rPr>
            <w:rFonts w:asciiTheme="majorHAnsi" w:hAnsiTheme="majorHAnsi" w:cstheme="majorHAnsi"/>
            <w:color w:val="242424"/>
          </w:rPr>
          <w:t>global threat</w:t>
        </w:r>
      </w:hyperlink>
      <w:r w:rsidRPr="00D07372">
        <w:rPr>
          <w:rFonts w:asciiTheme="majorHAnsi" w:hAnsiTheme="majorHAnsi" w:cstheme="majorHAnsi"/>
          <w:color w:val="242424"/>
        </w:rPr>
        <w:t> from the</w:t>
      </w:r>
      <w:r>
        <w:rPr>
          <w:rFonts w:asciiTheme="majorHAnsi" w:hAnsiTheme="majorHAnsi" w:cstheme="majorHAnsi"/>
          <w:color w:val="242424"/>
        </w:rPr>
        <w:t xml:space="preserve"> lack of vaccination. </w:t>
      </w:r>
    </w:p>
    <w:p w14:paraId="1E96D3FB" w14:textId="77777777" w:rsidR="00EA6CA8" w:rsidRPr="00AA4F59"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p w14:paraId="1B4F1748" w14:textId="77777777" w:rsidR="00EA6CA8" w:rsidRDefault="00EA6CA8" w:rsidP="00EA6CA8">
      <w:pPr>
        <w:pStyle w:val="NormalWeb"/>
        <w:shd w:val="clear" w:color="auto" w:fill="FFFFFF"/>
        <w:spacing w:before="0" w:beforeAutospacing="0" w:after="0" w:afterAutospacing="0"/>
        <w:jc w:val="both"/>
        <w:rPr>
          <w:rFonts w:asciiTheme="majorHAnsi" w:hAnsiTheme="majorHAnsi" w:cstheme="majorHAnsi"/>
          <w:color w:val="242424"/>
        </w:rPr>
      </w:pPr>
      <w:r>
        <w:rPr>
          <w:rFonts w:asciiTheme="majorHAnsi" w:hAnsiTheme="majorHAnsi" w:cstheme="majorHAnsi"/>
          <w:color w:val="242424"/>
        </w:rPr>
        <w:t>So far no measles cases were identified in Nevada. However, t</w:t>
      </w:r>
      <w:r w:rsidRPr="00D07372">
        <w:rPr>
          <w:rFonts w:asciiTheme="majorHAnsi" w:hAnsiTheme="majorHAnsi" w:cstheme="majorHAnsi"/>
          <w:color w:val="242424"/>
        </w:rPr>
        <w:t>he DPBH notified healthcare providers to be on alert for patients who have</w:t>
      </w:r>
      <w:r>
        <w:rPr>
          <w:rFonts w:asciiTheme="majorHAnsi" w:hAnsiTheme="majorHAnsi" w:cstheme="majorHAnsi"/>
          <w:color w:val="242424"/>
        </w:rPr>
        <w:t xml:space="preserve"> </w:t>
      </w:r>
      <w:r w:rsidRPr="00D07372">
        <w:rPr>
          <w:rFonts w:asciiTheme="majorHAnsi" w:hAnsiTheme="majorHAnsi" w:cstheme="majorHAnsi"/>
          <w:color w:val="242424"/>
        </w:rPr>
        <w:t>febrile rash illness and </w:t>
      </w:r>
      <w:hyperlink r:id="rId18" w:history="1">
        <w:r w:rsidRPr="00D07372">
          <w:rPr>
            <w:rFonts w:asciiTheme="majorHAnsi" w:hAnsiTheme="majorHAnsi" w:cstheme="majorHAnsi"/>
            <w:color w:val="242424"/>
          </w:rPr>
          <w:t>symptoms consistent with measles</w:t>
        </w:r>
      </w:hyperlink>
      <w:r w:rsidRPr="00D07372">
        <w:rPr>
          <w:rFonts w:asciiTheme="majorHAnsi" w:hAnsiTheme="majorHAnsi" w:cstheme="majorHAnsi"/>
          <w:color w:val="242424"/>
        </w:rPr>
        <w:t> (e.g., cough, coryza, or conjunctivitis), and have recently traveled abroad or had contact with sick travelers, especially to</w:t>
      </w:r>
      <w:r>
        <w:rPr>
          <w:rFonts w:asciiTheme="majorHAnsi" w:hAnsiTheme="majorHAnsi" w:cstheme="majorHAnsi"/>
          <w:color w:val="242424"/>
        </w:rPr>
        <w:t xml:space="preserve"> or from</w:t>
      </w:r>
      <w:r w:rsidRPr="00D07372">
        <w:rPr>
          <w:rFonts w:asciiTheme="majorHAnsi" w:hAnsiTheme="majorHAnsi" w:cstheme="majorHAnsi"/>
          <w:color w:val="242424"/>
        </w:rPr>
        <w:t xml:space="preserve"> countries with ongoing measles </w:t>
      </w:r>
      <w:hyperlink r:id="rId19" w:history="1">
        <w:r w:rsidRPr="00D07372">
          <w:rPr>
            <w:rFonts w:asciiTheme="majorHAnsi" w:hAnsiTheme="majorHAnsi" w:cstheme="majorHAnsi"/>
            <w:color w:val="242424"/>
          </w:rPr>
          <w:t>outbreaks.</w:t>
        </w:r>
      </w:hyperlink>
      <w:r w:rsidRPr="00D07372">
        <w:rPr>
          <w:rFonts w:asciiTheme="majorHAnsi" w:hAnsiTheme="majorHAnsi" w:cstheme="majorHAnsi"/>
          <w:color w:val="242424"/>
        </w:rPr>
        <w:t> </w:t>
      </w:r>
    </w:p>
    <w:p w14:paraId="443CE97E" w14:textId="77777777" w:rsidR="00EA6CA8" w:rsidRPr="00E53CB7" w:rsidRDefault="00EA6CA8" w:rsidP="00EA6CA8">
      <w:pPr>
        <w:pStyle w:val="NormalWeb"/>
        <w:shd w:val="clear" w:color="auto" w:fill="FFFFFF"/>
        <w:spacing w:before="0" w:beforeAutospacing="0" w:after="0" w:afterAutospacing="0"/>
        <w:jc w:val="both"/>
        <w:rPr>
          <w:rFonts w:asciiTheme="majorHAnsi" w:hAnsiTheme="majorHAnsi" w:cstheme="majorHAnsi"/>
          <w:color w:val="242424"/>
          <w:sz w:val="10"/>
          <w:szCs w:val="10"/>
        </w:rPr>
      </w:pPr>
    </w:p>
    <w:sectPr w:rsidR="00EA6CA8" w:rsidRPr="00E53CB7" w:rsidSect="00EA6CA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5A59FB" w14:textId="77777777" w:rsidR="00E56571" w:rsidRDefault="00E56571" w:rsidP="00B4502F">
      <w:pPr>
        <w:spacing w:after="0" w:line="240" w:lineRule="auto"/>
      </w:pPr>
      <w:r>
        <w:separator/>
      </w:r>
    </w:p>
  </w:endnote>
  <w:endnote w:type="continuationSeparator" w:id="0">
    <w:p w14:paraId="4DFF44D9" w14:textId="77777777" w:rsidR="00E56571" w:rsidRDefault="00E56571" w:rsidP="00B4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panose1 w:val="00000000000000000000"/>
    <w:charset w:val="00"/>
    <w:family w:val="roman"/>
    <w:notTrueType/>
    <w:pitch w:val="default"/>
  </w:font>
  <w:font w:name="Univers LT Std 59 UltraCn">
    <w:panose1 w:val="020B060803050206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37383097"/>
      <w:docPartObj>
        <w:docPartGallery w:val="Page Numbers (Bottom of Page)"/>
        <w:docPartUnique/>
      </w:docPartObj>
    </w:sdtPr>
    <w:sdtEndPr/>
    <w:sdtContent>
      <w:sdt>
        <w:sdtPr>
          <w:id w:val="-1769616900"/>
          <w:docPartObj>
            <w:docPartGallery w:val="Page Numbers (Top of Page)"/>
            <w:docPartUnique/>
          </w:docPartObj>
        </w:sdtPr>
        <w:sdtEndPr/>
        <w:sdtContent>
          <w:p w14:paraId="4524E1DF" w14:textId="2E47A49D" w:rsidR="00921640" w:rsidRPr="00562ABA" w:rsidRDefault="00F3399D" w:rsidP="00921640">
            <w:pPr>
              <w:pStyle w:val="Header"/>
              <w:pBdr>
                <w:top w:val="single" w:sz="4" w:space="1" w:color="auto"/>
              </w:pBdr>
              <w:jc w:val="center"/>
              <w:rPr>
                <w:color w:val="595959" w:themeColor="text1" w:themeTint="A6"/>
                <w:sz w:val="18"/>
                <w:szCs w:val="18"/>
              </w:rPr>
            </w:pPr>
            <w:r>
              <w:t xml:space="preserve"> </w:t>
            </w:r>
            <w:r w:rsidR="006E0042">
              <w:rPr>
                <w:color w:val="595959" w:themeColor="text1" w:themeTint="A6"/>
                <w:sz w:val="18"/>
                <w:szCs w:val="18"/>
              </w:rPr>
              <w:t>4150 Technology Way, Suite 300</w:t>
            </w:r>
            <w:r w:rsidR="00921640" w:rsidRPr="00562ABA">
              <w:rPr>
                <w:color w:val="595959" w:themeColor="text1" w:themeTint="A6"/>
                <w:sz w:val="18"/>
                <w:szCs w:val="18"/>
              </w:rPr>
              <w:t xml:space="preserve"> ● </w:t>
            </w:r>
            <w:r w:rsidR="00865A8A">
              <w:rPr>
                <w:color w:val="595959" w:themeColor="text1" w:themeTint="A6"/>
                <w:sz w:val="18"/>
                <w:szCs w:val="18"/>
              </w:rPr>
              <w:t>Carson City</w:t>
            </w:r>
            <w:r w:rsidR="00921640" w:rsidRPr="00562ABA">
              <w:rPr>
                <w:color w:val="595959" w:themeColor="text1" w:themeTint="A6"/>
                <w:sz w:val="18"/>
                <w:szCs w:val="18"/>
              </w:rPr>
              <w:t>, Nevada 89</w:t>
            </w:r>
            <w:r w:rsidR="00865A8A">
              <w:rPr>
                <w:color w:val="595959" w:themeColor="text1" w:themeTint="A6"/>
                <w:sz w:val="18"/>
                <w:szCs w:val="18"/>
              </w:rPr>
              <w:t>706</w:t>
            </w:r>
          </w:p>
          <w:p w14:paraId="32F9FE41" w14:textId="6CEFD672" w:rsidR="00921640" w:rsidRPr="00562ABA" w:rsidRDefault="00865A8A" w:rsidP="00921640">
            <w:pPr>
              <w:pStyle w:val="Header"/>
              <w:jc w:val="center"/>
              <w:rPr>
                <w:color w:val="595959" w:themeColor="text1" w:themeTint="A6"/>
                <w:sz w:val="18"/>
                <w:szCs w:val="18"/>
              </w:rPr>
            </w:pPr>
            <w:r>
              <w:rPr>
                <w:color w:val="595959" w:themeColor="text1" w:themeTint="A6"/>
                <w:sz w:val="18"/>
                <w:szCs w:val="18"/>
              </w:rPr>
              <w:t>775</w:t>
            </w:r>
            <w:r w:rsidR="00921640" w:rsidRPr="00562ABA">
              <w:rPr>
                <w:color w:val="595959" w:themeColor="text1" w:themeTint="A6"/>
                <w:sz w:val="18"/>
                <w:szCs w:val="18"/>
              </w:rPr>
              <w:t>-</w:t>
            </w:r>
            <w:r w:rsidR="00871F4B">
              <w:rPr>
                <w:color w:val="595959" w:themeColor="text1" w:themeTint="A6"/>
                <w:sz w:val="18"/>
                <w:szCs w:val="18"/>
              </w:rPr>
              <w:t>6</w:t>
            </w:r>
            <w:r w:rsidR="0061296C">
              <w:rPr>
                <w:color w:val="595959" w:themeColor="text1" w:themeTint="A6"/>
                <w:sz w:val="18"/>
                <w:szCs w:val="18"/>
              </w:rPr>
              <w:t>8</w:t>
            </w:r>
            <w:r w:rsidR="006E0042">
              <w:rPr>
                <w:color w:val="595959" w:themeColor="text1" w:themeTint="A6"/>
                <w:sz w:val="18"/>
                <w:szCs w:val="18"/>
              </w:rPr>
              <w:t>4-4200</w:t>
            </w:r>
            <w:r w:rsidR="00921640" w:rsidRPr="00562ABA">
              <w:rPr>
                <w:color w:val="595959" w:themeColor="text1" w:themeTint="A6"/>
                <w:sz w:val="18"/>
                <w:szCs w:val="18"/>
              </w:rPr>
              <w:t xml:space="preserve"> ● Fax </w:t>
            </w:r>
            <w:r>
              <w:rPr>
                <w:color w:val="595959" w:themeColor="text1" w:themeTint="A6"/>
                <w:sz w:val="18"/>
                <w:szCs w:val="18"/>
              </w:rPr>
              <w:t>775</w:t>
            </w:r>
            <w:r w:rsidR="00871F4B">
              <w:rPr>
                <w:color w:val="595959" w:themeColor="text1" w:themeTint="A6"/>
                <w:sz w:val="18"/>
                <w:szCs w:val="18"/>
              </w:rPr>
              <w:t>-</w:t>
            </w:r>
            <w:r w:rsidR="0061296C">
              <w:rPr>
                <w:color w:val="595959" w:themeColor="text1" w:themeTint="A6"/>
                <w:sz w:val="18"/>
                <w:szCs w:val="18"/>
              </w:rPr>
              <w:t>687</w:t>
            </w:r>
            <w:r w:rsidR="006E0042">
              <w:rPr>
                <w:color w:val="595959" w:themeColor="text1" w:themeTint="A6"/>
                <w:sz w:val="18"/>
                <w:szCs w:val="18"/>
              </w:rPr>
              <w:t>-7570</w:t>
            </w:r>
            <w:r w:rsidR="00921640" w:rsidRPr="00562ABA">
              <w:rPr>
                <w:color w:val="595959" w:themeColor="text1" w:themeTint="A6"/>
                <w:sz w:val="18"/>
                <w:szCs w:val="18"/>
              </w:rPr>
              <w:t xml:space="preserve"> ● </w:t>
            </w:r>
            <w:r w:rsidR="006E0042">
              <w:rPr>
                <w:color w:val="595959" w:themeColor="text1" w:themeTint="A6"/>
                <w:sz w:val="18"/>
                <w:szCs w:val="18"/>
              </w:rPr>
              <w:t>dpbh</w:t>
            </w:r>
            <w:r w:rsidR="0061296C">
              <w:rPr>
                <w:color w:val="595959" w:themeColor="text1" w:themeTint="A6"/>
                <w:sz w:val="18"/>
                <w:szCs w:val="18"/>
              </w:rPr>
              <w:t>.</w:t>
            </w:r>
            <w:r w:rsidR="00285589">
              <w:rPr>
                <w:color w:val="595959" w:themeColor="text1" w:themeTint="A6"/>
                <w:sz w:val="18"/>
                <w:szCs w:val="18"/>
              </w:rPr>
              <w:t>nv.</w:t>
            </w:r>
            <w:r w:rsidR="00921640" w:rsidRPr="00562ABA">
              <w:rPr>
                <w:color w:val="595959" w:themeColor="text1" w:themeTint="A6"/>
                <w:sz w:val="18"/>
                <w:szCs w:val="18"/>
              </w:rPr>
              <w:t>go</w:t>
            </w:r>
            <w:r w:rsidR="00921640">
              <w:rPr>
                <w:color w:val="595959" w:themeColor="text1" w:themeTint="A6"/>
                <w:sz w:val="18"/>
                <w:szCs w:val="18"/>
              </w:rPr>
              <w:t>v</w:t>
            </w:r>
          </w:p>
          <w:p w14:paraId="664D094F" w14:textId="19DB2601" w:rsidR="00343BE1" w:rsidRDefault="00343BE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A6403" w14:textId="77777777" w:rsidR="00E56571" w:rsidRDefault="00E56571" w:rsidP="00B4502F">
      <w:pPr>
        <w:spacing w:after="0" w:line="240" w:lineRule="auto"/>
      </w:pPr>
      <w:r>
        <w:separator/>
      </w:r>
    </w:p>
  </w:footnote>
  <w:footnote w:type="continuationSeparator" w:id="0">
    <w:p w14:paraId="367395ED" w14:textId="77777777" w:rsidR="00E56571" w:rsidRDefault="00E56571" w:rsidP="00B450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1360E"/>
    <w:multiLevelType w:val="hybridMultilevel"/>
    <w:tmpl w:val="E75E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807412"/>
    <w:multiLevelType w:val="hybridMultilevel"/>
    <w:tmpl w:val="6C5200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2DF4121"/>
    <w:multiLevelType w:val="hybridMultilevel"/>
    <w:tmpl w:val="C0DAF20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4486068"/>
    <w:multiLevelType w:val="hybridMultilevel"/>
    <w:tmpl w:val="99E093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4D76C38"/>
    <w:multiLevelType w:val="multilevel"/>
    <w:tmpl w:val="C7B4E3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37382FBB"/>
    <w:multiLevelType w:val="hybridMultilevel"/>
    <w:tmpl w:val="A69E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DCC03DA"/>
    <w:multiLevelType w:val="hybridMultilevel"/>
    <w:tmpl w:val="E14EEF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4A77E4"/>
    <w:multiLevelType w:val="hybridMultilevel"/>
    <w:tmpl w:val="C9C29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5255BA7"/>
    <w:multiLevelType w:val="hybridMultilevel"/>
    <w:tmpl w:val="AC327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BB06289"/>
    <w:multiLevelType w:val="hybridMultilevel"/>
    <w:tmpl w:val="B7C0C4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BFF2E15"/>
    <w:multiLevelType w:val="multilevel"/>
    <w:tmpl w:val="2BE67A0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4DF4435D"/>
    <w:multiLevelType w:val="multilevel"/>
    <w:tmpl w:val="EE5E36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7020C"/>
    <w:multiLevelType w:val="multilevel"/>
    <w:tmpl w:val="52E81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6F6CA1"/>
    <w:multiLevelType w:val="hybridMultilevel"/>
    <w:tmpl w:val="3A728B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5A3F67B5"/>
    <w:multiLevelType w:val="multilevel"/>
    <w:tmpl w:val="960CE99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5EC03E5C"/>
    <w:multiLevelType w:val="hybridMultilevel"/>
    <w:tmpl w:val="1B749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2A35725"/>
    <w:multiLevelType w:val="multilevel"/>
    <w:tmpl w:val="E52694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9C33B5A"/>
    <w:multiLevelType w:val="hybridMultilevel"/>
    <w:tmpl w:val="4BE64C8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DDA1A82"/>
    <w:multiLevelType w:val="hybridMultilevel"/>
    <w:tmpl w:val="34F04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EC67AF3"/>
    <w:multiLevelType w:val="multilevel"/>
    <w:tmpl w:val="0AC8F522"/>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7A130FA7"/>
    <w:multiLevelType w:val="multilevel"/>
    <w:tmpl w:val="76D0A10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16cid:durableId="682900311">
    <w:abstractNumId w:val="10"/>
  </w:num>
  <w:num w:numId="2" w16cid:durableId="282158168">
    <w:abstractNumId w:val="20"/>
  </w:num>
  <w:num w:numId="3" w16cid:durableId="889418974">
    <w:abstractNumId w:val="3"/>
  </w:num>
  <w:num w:numId="4" w16cid:durableId="1796681582">
    <w:abstractNumId w:val="11"/>
  </w:num>
  <w:num w:numId="5" w16cid:durableId="1643274065">
    <w:abstractNumId w:val="5"/>
  </w:num>
  <w:num w:numId="6" w16cid:durableId="560405404">
    <w:abstractNumId w:val="18"/>
  </w:num>
  <w:num w:numId="7" w16cid:durableId="1297176923">
    <w:abstractNumId w:val="12"/>
  </w:num>
  <w:num w:numId="8" w16cid:durableId="791098529">
    <w:abstractNumId w:val="16"/>
  </w:num>
  <w:num w:numId="9" w16cid:durableId="605427455">
    <w:abstractNumId w:val="13"/>
  </w:num>
  <w:num w:numId="10" w16cid:durableId="1183086274">
    <w:abstractNumId w:val="7"/>
  </w:num>
  <w:num w:numId="11" w16cid:durableId="1616210557">
    <w:abstractNumId w:val="1"/>
  </w:num>
  <w:num w:numId="12" w16cid:durableId="8530133">
    <w:abstractNumId w:val="15"/>
  </w:num>
  <w:num w:numId="13" w16cid:durableId="326447054">
    <w:abstractNumId w:val="9"/>
  </w:num>
  <w:num w:numId="14" w16cid:durableId="1145316251">
    <w:abstractNumId w:val="8"/>
  </w:num>
  <w:num w:numId="15" w16cid:durableId="693044599">
    <w:abstractNumId w:val="2"/>
  </w:num>
  <w:num w:numId="16" w16cid:durableId="1384645980">
    <w:abstractNumId w:val="17"/>
  </w:num>
  <w:num w:numId="17" w16cid:durableId="1325085986">
    <w:abstractNumId w:val="14"/>
  </w:num>
  <w:num w:numId="18" w16cid:durableId="596401285">
    <w:abstractNumId w:val="4"/>
  </w:num>
  <w:num w:numId="19" w16cid:durableId="1078866565">
    <w:abstractNumId w:val="6"/>
  </w:num>
  <w:num w:numId="20" w16cid:durableId="834760431">
    <w:abstractNumId w:val="0"/>
  </w:num>
  <w:num w:numId="21" w16cid:durableId="78658267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63B"/>
    <w:rsid w:val="00007A54"/>
    <w:rsid w:val="00012334"/>
    <w:rsid w:val="00020591"/>
    <w:rsid w:val="00022B44"/>
    <w:rsid w:val="0004469C"/>
    <w:rsid w:val="0005138C"/>
    <w:rsid w:val="000530EC"/>
    <w:rsid w:val="00053A4A"/>
    <w:rsid w:val="00056557"/>
    <w:rsid w:val="000603BF"/>
    <w:rsid w:val="00064199"/>
    <w:rsid w:val="00070375"/>
    <w:rsid w:val="00091200"/>
    <w:rsid w:val="000954FC"/>
    <w:rsid w:val="000A6241"/>
    <w:rsid w:val="000A6654"/>
    <w:rsid w:val="000A6D74"/>
    <w:rsid w:val="000B1C6E"/>
    <w:rsid w:val="000B506D"/>
    <w:rsid w:val="000B79C6"/>
    <w:rsid w:val="000C2625"/>
    <w:rsid w:val="000C5F3B"/>
    <w:rsid w:val="000D08A3"/>
    <w:rsid w:val="000D51B8"/>
    <w:rsid w:val="000E15AC"/>
    <w:rsid w:val="00100982"/>
    <w:rsid w:val="00100E09"/>
    <w:rsid w:val="00102906"/>
    <w:rsid w:val="0010623F"/>
    <w:rsid w:val="0012164F"/>
    <w:rsid w:val="0012200A"/>
    <w:rsid w:val="0012770A"/>
    <w:rsid w:val="00133E26"/>
    <w:rsid w:val="00140637"/>
    <w:rsid w:val="00142F7D"/>
    <w:rsid w:val="00154392"/>
    <w:rsid w:val="001729D9"/>
    <w:rsid w:val="0017509F"/>
    <w:rsid w:val="00184249"/>
    <w:rsid w:val="00185E28"/>
    <w:rsid w:val="0018713C"/>
    <w:rsid w:val="001916AC"/>
    <w:rsid w:val="00195470"/>
    <w:rsid w:val="001A7A19"/>
    <w:rsid w:val="001B25FA"/>
    <w:rsid w:val="001B57A2"/>
    <w:rsid w:val="001B5D80"/>
    <w:rsid w:val="001C4AB9"/>
    <w:rsid w:val="001C63D4"/>
    <w:rsid w:val="001D31E9"/>
    <w:rsid w:val="001E3FCD"/>
    <w:rsid w:val="001E5134"/>
    <w:rsid w:val="001E620C"/>
    <w:rsid w:val="001F2E82"/>
    <w:rsid w:val="001F3E29"/>
    <w:rsid w:val="00213FDE"/>
    <w:rsid w:val="00217F4A"/>
    <w:rsid w:val="002234DB"/>
    <w:rsid w:val="00223722"/>
    <w:rsid w:val="00226D7E"/>
    <w:rsid w:val="00235E2E"/>
    <w:rsid w:val="002409C0"/>
    <w:rsid w:val="002413C6"/>
    <w:rsid w:val="00254D0D"/>
    <w:rsid w:val="00257878"/>
    <w:rsid w:val="002652F6"/>
    <w:rsid w:val="00265DA7"/>
    <w:rsid w:val="00285589"/>
    <w:rsid w:val="002B15C0"/>
    <w:rsid w:val="002B3689"/>
    <w:rsid w:val="002B5450"/>
    <w:rsid w:val="002C37F2"/>
    <w:rsid w:val="002C62A0"/>
    <w:rsid w:val="002D7A1E"/>
    <w:rsid w:val="002E3273"/>
    <w:rsid w:val="002E6D42"/>
    <w:rsid w:val="00317BA0"/>
    <w:rsid w:val="0032754C"/>
    <w:rsid w:val="00331A11"/>
    <w:rsid w:val="00332A30"/>
    <w:rsid w:val="00341633"/>
    <w:rsid w:val="003430DB"/>
    <w:rsid w:val="00343BE1"/>
    <w:rsid w:val="003463D3"/>
    <w:rsid w:val="00347963"/>
    <w:rsid w:val="00353B12"/>
    <w:rsid w:val="00353C5A"/>
    <w:rsid w:val="003677C0"/>
    <w:rsid w:val="00372798"/>
    <w:rsid w:val="00373F22"/>
    <w:rsid w:val="00377A08"/>
    <w:rsid w:val="00386B39"/>
    <w:rsid w:val="003933D4"/>
    <w:rsid w:val="00397ECF"/>
    <w:rsid w:val="00397ED2"/>
    <w:rsid w:val="003A0E87"/>
    <w:rsid w:val="003A3061"/>
    <w:rsid w:val="003C60CA"/>
    <w:rsid w:val="003C73B9"/>
    <w:rsid w:val="003D3E39"/>
    <w:rsid w:val="003E49B3"/>
    <w:rsid w:val="003F1C0B"/>
    <w:rsid w:val="003F52ED"/>
    <w:rsid w:val="003F5D53"/>
    <w:rsid w:val="004042E2"/>
    <w:rsid w:val="004102C8"/>
    <w:rsid w:val="00411B2A"/>
    <w:rsid w:val="00415456"/>
    <w:rsid w:val="00415E36"/>
    <w:rsid w:val="0041663B"/>
    <w:rsid w:val="004176EC"/>
    <w:rsid w:val="00420D54"/>
    <w:rsid w:val="00422324"/>
    <w:rsid w:val="00430F33"/>
    <w:rsid w:val="004332E8"/>
    <w:rsid w:val="00443BF5"/>
    <w:rsid w:val="00444233"/>
    <w:rsid w:val="004466F6"/>
    <w:rsid w:val="00446A1D"/>
    <w:rsid w:val="004475D5"/>
    <w:rsid w:val="0045533D"/>
    <w:rsid w:val="00455DC3"/>
    <w:rsid w:val="0046011A"/>
    <w:rsid w:val="00463557"/>
    <w:rsid w:val="00463FD3"/>
    <w:rsid w:val="004643D4"/>
    <w:rsid w:val="00477313"/>
    <w:rsid w:val="004814F6"/>
    <w:rsid w:val="004842F7"/>
    <w:rsid w:val="004859A3"/>
    <w:rsid w:val="00487481"/>
    <w:rsid w:val="00491FB9"/>
    <w:rsid w:val="00493D45"/>
    <w:rsid w:val="00493EDB"/>
    <w:rsid w:val="00495677"/>
    <w:rsid w:val="00496D78"/>
    <w:rsid w:val="004976C7"/>
    <w:rsid w:val="004A0458"/>
    <w:rsid w:val="004A4087"/>
    <w:rsid w:val="004A5C3E"/>
    <w:rsid w:val="004A6944"/>
    <w:rsid w:val="004B2943"/>
    <w:rsid w:val="004B39B9"/>
    <w:rsid w:val="004D2229"/>
    <w:rsid w:val="004D23F1"/>
    <w:rsid w:val="004D4605"/>
    <w:rsid w:val="004D5DA4"/>
    <w:rsid w:val="004E15DF"/>
    <w:rsid w:val="004F645D"/>
    <w:rsid w:val="005000C7"/>
    <w:rsid w:val="00501007"/>
    <w:rsid w:val="0050299A"/>
    <w:rsid w:val="00510595"/>
    <w:rsid w:val="0051388B"/>
    <w:rsid w:val="00513B2D"/>
    <w:rsid w:val="00515CFF"/>
    <w:rsid w:val="00515DA1"/>
    <w:rsid w:val="00516565"/>
    <w:rsid w:val="00520FE0"/>
    <w:rsid w:val="00525690"/>
    <w:rsid w:val="005333F4"/>
    <w:rsid w:val="00533E04"/>
    <w:rsid w:val="005345C9"/>
    <w:rsid w:val="00537719"/>
    <w:rsid w:val="00537D86"/>
    <w:rsid w:val="005477AE"/>
    <w:rsid w:val="005578BD"/>
    <w:rsid w:val="00564D21"/>
    <w:rsid w:val="005717C0"/>
    <w:rsid w:val="005741C6"/>
    <w:rsid w:val="00574C92"/>
    <w:rsid w:val="00584F49"/>
    <w:rsid w:val="00587BF0"/>
    <w:rsid w:val="00592C0C"/>
    <w:rsid w:val="00593FD8"/>
    <w:rsid w:val="0059621E"/>
    <w:rsid w:val="00596E64"/>
    <w:rsid w:val="005B2885"/>
    <w:rsid w:val="005B4D06"/>
    <w:rsid w:val="005B7D9A"/>
    <w:rsid w:val="005D467E"/>
    <w:rsid w:val="005D48E9"/>
    <w:rsid w:val="005D5239"/>
    <w:rsid w:val="005F436C"/>
    <w:rsid w:val="0061296C"/>
    <w:rsid w:val="006135F9"/>
    <w:rsid w:val="00615425"/>
    <w:rsid w:val="0061592E"/>
    <w:rsid w:val="0061623F"/>
    <w:rsid w:val="006712B4"/>
    <w:rsid w:val="006715F7"/>
    <w:rsid w:val="0067347E"/>
    <w:rsid w:val="00675A8A"/>
    <w:rsid w:val="00683CFD"/>
    <w:rsid w:val="0068444D"/>
    <w:rsid w:val="00685B15"/>
    <w:rsid w:val="0069728A"/>
    <w:rsid w:val="0069761A"/>
    <w:rsid w:val="006A2180"/>
    <w:rsid w:val="006A751E"/>
    <w:rsid w:val="006B5000"/>
    <w:rsid w:val="006B53AC"/>
    <w:rsid w:val="006C0819"/>
    <w:rsid w:val="006D1A9C"/>
    <w:rsid w:val="006D4845"/>
    <w:rsid w:val="006E0042"/>
    <w:rsid w:val="006E0F17"/>
    <w:rsid w:val="006E3650"/>
    <w:rsid w:val="006E381C"/>
    <w:rsid w:val="006F6D1D"/>
    <w:rsid w:val="006F78A9"/>
    <w:rsid w:val="00711729"/>
    <w:rsid w:val="00712494"/>
    <w:rsid w:val="00713966"/>
    <w:rsid w:val="0071797E"/>
    <w:rsid w:val="00717B38"/>
    <w:rsid w:val="00730017"/>
    <w:rsid w:val="0073430E"/>
    <w:rsid w:val="007438CC"/>
    <w:rsid w:val="00745CE1"/>
    <w:rsid w:val="00746D36"/>
    <w:rsid w:val="007505AE"/>
    <w:rsid w:val="00755EB1"/>
    <w:rsid w:val="0076408D"/>
    <w:rsid w:val="00766447"/>
    <w:rsid w:val="00766A99"/>
    <w:rsid w:val="007674AB"/>
    <w:rsid w:val="00771A92"/>
    <w:rsid w:val="00774D90"/>
    <w:rsid w:val="00775066"/>
    <w:rsid w:val="00780ADA"/>
    <w:rsid w:val="0078233B"/>
    <w:rsid w:val="00786929"/>
    <w:rsid w:val="00787688"/>
    <w:rsid w:val="00790974"/>
    <w:rsid w:val="007933AA"/>
    <w:rsid w:val="007A4587"/>
    <w:rsid w:val="007A7ED7"/>
    <w:rsid w:val="007B062D"/>
    <w:rsid w:val="007C3F0B"/>
    <w:rsid w:val="007C56F0"/>
    <w:rsid w:val="007D2CE4"/>
    <w:rsid w:val="007D4AD7"/>
    <w:rsid w:val="007E6F1B"/>
    <w:rsid w:val="007F01DE"/>
    <w:rsid w:val="007F41A8"/>
    <w:rsid w:val="007F6B24"/>
    <w:rsid w:val="007F7A70"/>
    <w:rsid w:val="00802175"/>
    <w:rsid w:val="00813D33"/>
    <w:rsid w:val="00837AA3"/>
    <w:rsid w:val="00837D44"/>
    <w:rsid w:val="00841A2F"/>
    <w:rsid w:val="008443B2"/>
    <w:rsid w:val="00861580"/>
    <w:rsid w:val="00863E5A"/>
    <w:rsid w:val="00865A8A"/>
    <w:rsid w:val="00867D71"/>
    <w:rsid w:val="00871F4B"/>
    <w:rsid w:val="0087414D"/>
    <w:rsid w:val="00877FAF"/>
    <w:rsid w:val="00885E12"/>
    <w:rsid w:val="00896ABE"/>
    <w:rsid w:val="00897306"/>
    <w:rsid w:val="008A111B"/>
    <w:rsid w:val="008A35C5"/>
    <w:rsid w:val="008A644F"/>
    <w:rsid w:val="008C0100"/>
    <w:rsid w:val="008C6C6E"/>
    <w:rsid w:val="008C6E74"/>
    <w:rsid w:val="008D0032"/>
    <w:rsid w:val="008D04B3"/>
    <w:rsid w:val="008D2745"/>
    <w:rsid w:val="008D60B5"/>
    <w:rsid w:val="008E0DBE"/>
    <w:rsid w:val="008F3D67"/>
    <w:rsid w:val="008F680B"/>
    <w:rsid w:val="009078CB"/>
    <w:rsid w:val="00916D7E"/>
    <w:rsid w:val="009171CD"/>
    <w:rsid w:val="00921640"/>
    <w:rsid w:val="00925311"/>
    <w:rsid w:val="009315DB"/>
    <w:rsid w:val="00931709"/>
    <w:rsid w:val="0093660B"/>
    <w:rsid w:val="00941915"/>
    <w:rsid w:val="009432B3"/>
    <w:rsid w:val="009445D2"/>
    <w:rsid w:val="00950FC6"/>
    <w:rsid w:val="00951AA8"/>
    <w:rsid w:val="009523DD"/>
    <w:rsid w:val="009551CC"/>
    <w:rsid w:val="009625E5"/>
    <w:rsid w:val="00962E5F"/>
    <w:rsid w:val="00965108"/>
    <w:rsid w:val="009732B8"/>
    <w:rsid w:val="00977A5D"/>
    <w:rsid w:val="00990067"/>
    <w:rsid w:val="009A1D4A"/>
    <w:rsid w:val="009B0B00"/>
    <w:rsid w:val="009B54C2"/>
    <w:rsid w:val="009B714F"/>
    <w:rsid w:val="009C32F5"/>
    <w:rsid w:val="009D15C3"/>
    <w:rsid w:val="009D5EC8"/>
    <w:rsid w:val="009E1DFD"/>
    <w:rsid w:val="009E2F6D"/>
    <w:rsid w:val="009F60B3"/>
    <w:rsid w:val="00A04A34"/>
    <w:rsid w:val="00A05B14"/>
    <w:rsid w:val="00A11481"/>
    <w:rsid w:val="00A13F7A"/>
    <w:rsid w:val="00A16724"/>
    <w:rsid w:val="00A43B6A"/>
    <w:rsid w:val="00A457FC"/>
    <w:rsid w:val="00A46C7C"/>
    <w:rsid w:val="00A51655"/>
    <w:rsid w:val="00A52736"/>
    <w:rsid w:val="00A533C4"/>
    <w:rsid w:val="00A556C0"/>
    <w:rsid w:val="00A5585F"/>
    <w:rsid w:val="00A63702"/>
    <w:rsid w:val="00A708C2"/>
    <w:rsid w:val="00A80CEB"/>
    <w:rsid w:val="00A811BD"/>
    <w:rsid w:val="00A817AD"/>
    <w:rsid w:val="00A828FE"/>
    <w:rsid w:val="00A84949"/>
    <w:rsid w:val="00A90CBD"/>
    <w:rsid w:val="00A93EDB"/>
    <w:rsid w:val="00A948D2"/>
    <w:rsid w:val="00A95D52"/>
    <w:rsid w:val="00AA0ED3"/>
    <w:rsid w:val="00AA3DDC"/>
    <w:rsid w:val="00AA59AE"/>
    <w:rsid w:val="00AB56EA"/>
    <w:rsid w:val="00AC159E"/>
    <w:rsid w:val="00AC45E8"/>
    <w:rsid w:val="00AC7419"/>
    <w:rsid w:val="00AD253A"/>
    <w:rsid w:val="00AD4F15"/>
    <w:rsid w:val="00AD54A1"/>
    <w:rsid w:val="00AD612C"/>
    <w:rsid w:val="00AE2E60"/>
    <w:rsid w:val="00AF1AE4"/>
    <w:rsid w:val="00AF4F44"/>
    <w:rsid w:val="00AF77E3"/>
    <w:rsid w:val="00B1736E"/>
    <w:rsid w:val="00B262D4"/>
    <w:rsid w:val="00B4502F"/>
    <w:rsid w:val="00B474F2"/>
    <w:rsid w:val="00B509D2"/>
    <w:rsid w:val="00B526F7"/>
    <w:rsid w:val="00B63040"/>
    <w:rsid w:val="00B73A57"/>
    <w:rsid w:val="00B73FDD"/>
    <w:rsid w:val="00B83D8B"/>
    <w:rsid w:val="00B84764"/>
    <w:rsid w:val="00B91E71"/>
    <w:rsid w:val="00B96F62"/>
    <w:rsid w:val="00BA1150"/>
    <w:rsid w:val="00BA2CF6"/>
    <w:rsid w:val="00BC1936"/>
    <w:rsid w:val="00BC4540"/>
    <w:rsid w:val="00BC5C79"/>
    <w:rsid w:val="00BD44D5"/>
    <w:rsid w:val="00BD7BBC"/>
    <w:rsid w:val="00BE7151"/>
    <w:rsid w:val="00BF33A8"/>
    <w:rsid w:val="00C01852"/>
    <w:rsid w:val="00C11092"/>
    <w:rsid w:val="00C12401"/>
    <w:rsid w:val="00C141E3"/>
    <w:rsid w:val="00C217AD"/>
    <w:rsid w:val="00C21C51"/>
    <w:rsid w:val="00C27DD9"/>
    <w:rsid w:val="00C359CD"/>
    <w:rsid w:val="00C42DA7"/>
    <w:rsid w:val="00C457C2"/>
    <w:rsid w:val="00C52425"/>
    <w:rsid w:val="00C57D14"/>
    <w:rsid w:val="00C641B3"/>
    <w:rsid w:val="00C707EA"/>
    <w:rsid w:val="00C72015"/>
    <w:rsid w:val="00C73EC9"/>
    <w:rsid w:val="00C8287D"/>
    <w:rsid w:val="00C83C33"/>
    <w:rsid w:val="00C83E4E"/>
    <w:rsid w:val="00C87AF0"/>
    <w:rsid w:val="00CA42D0"/>
    <w:rsid w:val="00CB208B"/>
    <w:rsid w:val="00CB5583"/>
    <w:rsid w:val="00CC1192"/>
    <w:rsid w:val="00CD2D23"/>
    <w:rsid w:val="00CE0458"/>
    <w:rsid w:val="00CE3BA2"/>
    <w:rsid w:val="00CF0AA8"/>
    <w:rsid w:val="00CF14C1"/>
    <w:rsid w:val="00CF2B15"/>
    <w:rsid w:val="00CF4432"/>
    <w:rsid w:val="00D0118F"/>
    <w:rsid w:val="00D016FE"/>
    <w:rsid w:val="00D02693"/>
    <w:rsid w:val="00D02D21"/>
    <w:rsid w:val="00D02D61"/>
    <w:rsid w:val="00D04BDF"/>
    <w:rsid w:val="00D15CEA"/>
    <w:rsid w:val="00D41070"/>
    <w:rsid w:val="00D4209D"/>
    <w:rsid w:val="00D443BF"/>
    <w:rsid w:val="00D516FA"/>
    <w:rsid w:val="00D61FA0"/>
    <w:rsid w:val="00D63812"/>
    <w:rsid w:val="00D65684"/>
    <w:rsid w:val="00D67857"/>
    <w:rsid w:val="00D7027E"/>
    <w:rsid w:val="00D8209E"/>
    <w:rsid w:val="00D821E8"/>
    <w:rsid w:val="00D8225E"/>
    <w:rsid w:val="00D8659F"/>
    <w:rsid w:val="00DA0959"/>
    <w:rsid w:val="00DA5641"/>
    <w:rsid w:val="00DB140A"/>
    <w:rsid w:val="00DB4CF8"/>
    <w:rsid w:val="00DB679C"/>
    <w:rsid w:val="00DB7BE4"/>
    <w:rsid w:val="00DC746F"/>
    <w:rsid w:val="00DD0A2C"/>
    <w:rsid w:val="00DD6098"/>
    <w:rsid w:val="00DD78DF"/>
    <w:rsid w:val="00DD7BD8"/>
    <w:rsid w:val="00DE2CA6"/>
    <w:rsid w:val="00DE4E8E"/>
    <w:rsid w:val="00DF0906"/>
    <w:rsid w:val="00DF193F"/>
    <w:rsid w:val="00DF1A3C"/>
    <w:rsid w:val="00DF59BC"/>
    <w:rsid w:val="00DF78B2"/>
    <w:rsid w:val="00E004AE"/>
    <w:rsid w:val="00E17A6F"/>
    <w:rsid w:val="00E2411D"/>
    <w:rsid w:val="00E30130"/>
    <w:rsid w:val="00E31954"/>
    <w:rsid w:val="00E35CF9"/>
    <w:rsid w:val="00E37C3A"/>
    <w:rsid w:val="00E42353"/>
    <w:rsid w:val="00E56571"/>
    <w:rsid w:val="00E643F7"/>
    <w:rsid w:val="00E65C9D"/>
    <w:rsid w:val="00E7702D"/>
    <w:rsid w:val="00E80A7F"/>
    <w:rsid w:val="00E8737D"/>
    <w:rsid w:val="00E90720"/>
    <w:rsid w:val="00E95EFE"/>
    <w:rsid w:val="00EA6CA8"/>
    <w:rsid w:val="00EB0AD3"/>
    <w:rsid w:val="00EB47C4"/>
    <w:rsid w:val="00EC34A2"/>
    <w:rsid w:val="00EC3DA3"/>
    <w:rsid w:val="00ED46D3"/>
    <w:rsid w:val="00ED5D36"/>
    <w:rsid w:val="00ED6B19"/>
    <w:rsid w:val="00EE0265"/>
    <w:rsid w:val="00EF081F"/>
    <w:rsid w:val="00F01F0F"/>
    <w:rsid w:val="00F027F2"/>
    <w:rsid w:val="00F0629E"/>
    <w:rsid w:val="00F11E79"/>
    <w:rsid w:val="00F3399D"/>
    <w:rsid w:val="00F339FF"/>
    <w:rsid w:val="00F41314"/>
    <w:rsid w:val="00F431CC"/>
    <w:rsid w:val="00F434E0"/>
    <w:rsid w:val="00F46F5D"/>
    <w:rsid w:val="00F53276"/>
    <w:rsid w:val="00F6253F"/>
    <w:rsid w:val="00F62E59"/>
    <w:rsid w:val="00F63EB9"/>
    <w:rsid w:val="00F80E8F"/>
    <w:rsid w:val="00F832F1"/>
    <w:rsid w:val="00F871D8"/>
    <w:rsid w:val="00F92D67"/>
    <w:rsid w:val="00F957AE"/>
    <w:rsid w:val="00F95AE5"/>
    <w:rsid w:val="00FA695A"/>
    <w:rsid w:val="00FA7BAF"/>
    <w:rsid w:val="00FB314B"/>
    <w:rsid w:val="00FB36FE"/>
    <w:rsid w:val="00FB43E3"/>
    <w:rsid w:val="00FD016B"/>
    <w:rsid w:val="00FD6C68"/>
    <w:rsid w:val="00FD7BEB"/>
    <w:rsid w:val="00FE36B2"/>
    <w:rsid w:val="00FE54D2"/>
    <w:rsid w:val="00FE6F4A"/>
    <w:rsid w:val="00FE7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31F172"/>
  <w15:chartTrackingRefBased/>
  <w15:docId w15:val="{037D9965-9810-4EFC-B163-3E45C3EE4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7A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5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502F"/>
  </w:style>
  <w:style w:type="paragraph" w:styleId="Footer">
    <w:name w:val="footer"/>
    <w:basedOn w:val="Normal"/>
    <w:link w:val="FooterChar"/>
    <w:uiPriority w:val="99"/>
    <w:unhideWhenUsed/>
    <w:rsid w:val="00B45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502F"/>
  </w:style>
  <w:style w:type="character" w:customStyle="1" w:styleId="Heading1Char">
    <w:name w:val="Heading 1 Char"/>
    <w:basedOn w:val="DefaultParagraphFont"/>
    <w:link w:val="Heading1"/>
    <w:uiPriority w:val="9"/>
    <w:rsid w:val="00007A5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70375"/>
    <w:rPr>
      <w:color w:val="0563C1" w:themeColor="hyperlink"/>
      <w:u w:val="single"/>
    </w:rPr>
  </w:style>
  <w:style w:type="paragraph" w:styleId="NormalWeb">
    <w:name w:val="Normal (Web)"/>
    <w:basedOn w:val="Normal"/>
    <w:uiPriority w:val="99"/>
    <w:unhideWhenUsed/>
    <w:rsid w:val="00965108"/>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965108"/>
    <w:pPr>
      <w:spacing w:after="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uiPriority w:val="99"/>
    <w:semiHidden/>
    <w:rsid w:val="00965108"/>
    <w:rPr>
      <w:rFonts w:ascii="Arial" w:eastAsia="Times New Roman" w:hAnsi="Arial" w:cs="Times New Roman"/>
      <w:sz w:val="24"/>
      <w:szCs w:val="20"/>
    </w:rPr>
  </w:style>
  <w:style w:type="character" w:customStyle="1" w:styleId="ListParagraphChar">
    <w:name w:val="List Paragraph Char"/>
    <w:aliases w:val="Bullet List Char,3 Char,POCG Table Text Char,Issue Action POC Char,List Paragraph1 Char,Dot pt Char,F5 List Paragraph Char,List Paragraph Char Char Char Char,Indicator Text Char,Colorful List - Accent 11 Char,Numbered Para 1 Char"/>
    <w:basedOn w:val="DefaultParagraphFont"/>
    <w:link w:val="ListParagraph"/>
    <w:uiPriority w:val="34"/>
    <w:locked/>
    <w:rsid w:val="00965108"/>
  </w:style>
  <w:style w:type="paragraph" w:styleId="ListParagraph">
    <w:name w:val="List Paragraph"/>
    <w:aliases w:val="Bullet List,3,POCG Table Text,Issue Action POC,List Paragraph1,Dot pt,F5 List Paragraph,List Paragraph Char Char Char,Indicator Text,Colorful List - Accent 11,Numbered Para 1,Bullet 1,Bullet Points,List Paragraph2,MAIN CONTENT,FooterText"/>
    <w:basedOn w:val="Normal"/>
    <w:link w:val="ListParagraphChar"/>
    <w:uiPriority w:val="34"/>
    <w:qFormat/>
    <w:rsid w:val="00965108"/>
    <w:pPr>
      <w:spacing w:line="254" w:lineRule="auto"/>
      <w:ind w:left="720"/>
      <w:contextualSpacing/>
    </w:pPr>
  </w:style>
  <w:style w:type="paragraph" w:customStyle="1" w:styleId="xmsonormal">
    <w:name w:val="x_msonormal"/>
    <w:basedOn w:val="Normal"/>
    <w:uiPriority w:val="99"/>
    <w:rsid w:val="00965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listparagraph">
    <w:name w:val="x_xmsolistparagraph"/>
    <w:basedOn w:val="Normal"/>
    <w:uiPriority w:val="99"/>
    <w:rsid w:val="00965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uiPriority w:val="99"/>
    <w:rsid w:val="009651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s-1n0orw4">
    <w:name w:val="css-1n0orw4"/>
    <w:basedOn w:val="Normal"/>
    <w:uiPriority w:val="99"/>
    <w:rsid w:val="009651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vzbesvvoh">
    <w:name w:val="markvzbesvvoh"/>
    <w:basedOn w:val="DefaultParagraphFont"/>
    <w:rsid w:val="00965108"/>
  </w:style>
  <w:style w:type="character" w:customStyle="1" w:styleId="mark89l40oq4u">
    <w:name w:val="mark89l40oq4u"/>
    <w:basedOn w:val="DefaultParagraphFont"/>
    <w:rsid w:val="00965108"/>
  </w:style>
  <w:style w:type="character" w:customStyle="1" w:styleId="markf9j4it8bm">
    <w:name w:val="markf9j4it8bm"/>
    <w:basedOn w:val="DefaultParagraphFont"/>
    <w:rsid w:val="00965108"/>
  </w:style>
  <w:style w:type="character" w:customStyle="1" w:styleId="markzljghfsds">
    <w:name w:val="markzljghfsds"/>
    <w:basedOn w:val="DefaultParagraphFont"/>
    <w:rsid w:val="00965108"/>
  </w:style>
  <w:style w:type="character" w:customStyle="1" w:styleId="mark4o607wp5v">
    <w:name w:val="mark4o607wp5v"/>
    <w:basedOn w:val="DefaultParagraphFont"/>
    <w:rsid w:val="00965108"/>
  </w:style>
  <w:style w:type="character" w:styleId="Strong">
    <w:name w:val="Strong"/>
    <w:basedOn w:val="DefaultParagraphFont"/>
    <w:uiPriority w:val="22"/>
    <w:qFormat/>
    <w:rsid w:val="00965108"/>
    <w:rPr>
      <w:b/>
      <w:bCs/>
    </w:rPr>
  </w:style>
  <w:style w:type="character" w:styleId="FollowedHyperlink">
    <w:name w:val="FollowedHyperlink"/>
    <w:basedOn w:val="DefaultParagraphFont"/>
    <w:uiPriority w:val="99"/>
    <w:semiHidden/>
    <w:unhideWhenUsed/>
    <w:rsid w:val="003A3061"/>
    <w:rPr>
      <w:color w:val="954F72" w:themeColor="followedHyperlink"/>
      <w:u w:val="single"/>
    </w:rPr>
  </w:style>
  <w:style w:type="character" w:customStyle="1" w:styleId="amp-current-time">
    <w:name w:val="amp-current-time"/>
    <w:basedOn w:val="DefaultParagraphFont"/>
    <w:rsid w:val="00A05B14"/>
  </w:style>
  <w:style w:type="character" w:styleId="UnresolvedMention">
    <w:name w:val="Unresolved Mention"/>
    <w:basedOn w:val="DefaultParagraphFont"/>
    <w:uiPriority w:val="99"/>
    <w:semiHidden/>
    <w:unhideWhenUsed/>
    <w:rsid w:val="00766447"/>
    <w:rPr>
      <w:color w:val="605E5C"/>
      <w:shd w:val="clear" w:color="auto" w:fill="E1DFDD"/>
    </w:rPr>
  </w:style>
  <w:style w:type="paragraph" w:customStyle="1" w:styleId="f-body">
    <w:name w:val="f-body"/>
    <w:basedOn w:val="Normal"/>
    <w:rsid w:val="0093170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0">
    <w:name w:val="contentpasted0"/>
    <w:basedOn w:val="DefaultParagraphFont"/>
    <w:rsid w:val="00A84949"/>
  </w:style>
  <w:style w:type="paragraph" w:customStyle="1" w:styleId="paragraph">
    <w:name w:val="paragraph"/>
    <w:basedOn w:val="Normal"/>
    <w:rsid w:val="00D02693"/>
    <w:pPr>
      <w:spacing w:before="100" w:beforeAutospacing="1" w:after="100" w:afterAutospacing="1" w:line="240" w:lineRule="auto"/>
    </w:pPr>
    <w:rPr>
      <w:rFonts w:ascii="Calibri" w:hAnsi="Calibri" w:cs="Calibri"/>
    </w:rPr>
  </w:style>
  <w:style w:type="character" w:customStyle="1" w:styleId="sourcetext">
    <w:name w:val="source__text"/>
    <w:basedOn w:val="DefaultParagraphFont"/>
    <w:rsid w:val="00D02693"/>
  </w:style>
  <w:style w:type="character" w:customStyle="1" w:styleId="apple-converted-space">
    <w:name w:val="apple-converted-space"/>
    <w:basedOn w:val="DefaultParagraphFont"/>
    <w:rsid w:val="00D02693"/>
  </w:style>
  <w:style w:type="character" w:styleId="HTMLCite">
    <w:name w:val="HTML Cite"/>
    <w:basedOn w:val="DefaultParagraphFont"/>
    <w:uiPriority w:val="99"/>
    <w:semiHidden/>
    <w:unhideWhenUsed/>
    <w:rsid w:val="00D02693"/>
    <w:rPr>
      <w:i/>
      <w:iCs/>
    </w:rPr>
  </w:style>
  <w:style w:type="table" w:styleId="TableGrid">
    <w:name w:val="Table Grid"/>
    <w:basedOn w:val="TableNormal"/>
    <w:uiPriority w:val="39"/>
    <w:rsid w:val="00711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142F7D"/>
  </w:style>
  <w:style w:type="character" w:customStyle="1" w:styleId="eop">
    <w:name w:val="eop"/>
    <w:basedOn w:val="DefaultParagraphFont"/>
    <w:rsid w:val="00142F7D"/>
  </w:style>
  <w:style w:type="character" w:styleId="Emphasis">
    <w:name w:val="Emphasis"/>
    <w:basedOn w:val="DefaultParagraphFont"/>
    <w:uiPriority w:val="20"/>
    <w:qFormat/>
    <w:rsid w:val="00142F7D"/>
    <w:rPr>
      <w:i/>
      <w:iCs/>
    </w:rPr>
  </w:style>
  <w:style w:type="paragraph" w:customStyle="1" w:styleId="Default">
    <w:name w:val="Default"/>
    <w:rsid w:val="00142F7D"/>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Spacing">
    <w:name w:val="No Spacing"/>
    <w:basedOn w:val="Normal"/>
    <w:uiPriority w:val="1"/>
    <w:qFormat/>
    <w:rsid w:val="00AF1AE4"/>
    <w:pPr>
      <w:spacing w:after="0" w:line="240" w:lineRule="auto"/>
    </w:pPr>
    <w:rPr>
      <w:rFonts w:ascii="Calibri" w:hAnsi="Calibri" w:cs="Calibri"/>
    </w:rPr>
  </w:style>
  <w:style w:type="paragraph" w:customStyle="1" w:styleId="css-at9mc1">
    <w:name w:val="css-at9mc1"/>
    <w:basedOn w:val="Normal"/>
    <w:rsid w:val="00AF1AE4"/>
    <w:pPr>
      <w:spacing w:before="100" w:beforeAutospacing="1" w:after="100" w:afterAutospacing="1" w:line="240" w:lineRule="auto"/>
    </w:pPr>
    <w:rPr>
      <w:rFonts w:ascii="Calibri" w:hAnsi="Calibri" w:cs="Calibri"/>
    </w:rPr>
  </w:style>
  <w:style w:type="character" w:customStyle="1" w:styleId="inline-color">
    <w:name w:val="inline-color"/>
    <w:basedOn w:val="DefaultParagraphFont"/>
    <w:rsid w:val="00AF1AE4"/>
  </w:style>
  <w:style w:type="paragraph" w:customStyle="1" w:styleId="xxxmsonormal">
    <w:name w:val="xxxmsonormal"/>
    <w:basedOn w:val="Normal"/>
    <w:rsid w:val="00AF1AE4"/>
    <w:pPr>
      <w:spacing w:before="100" w:beforeAutospacing="1" w:after="100" w:afterAutospacing="1" w:line="240" w:lineRule="auto"/>
    </w:pPr>
    <w:rPr>
      <w:rFonts w:ascii="Calibri" w:hAnsi="Calibri" w:cs="Calibri"/>
    </w:rPr>
  </w:style>
  <w:style w:type="paragraph" w:customStyle="1" w:styleId="xxxmsolistparagraph">
    <w:name w:val="xxxmsolistparagraph"/>
    <w:basedOn w:val="Normal"/>
    <w:rsid w:val="00AF1AE4"/>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391637">
      <w:bodyDiv w:val="1"/>
      <w:marLeft w:val="0"/>
      <w:marRight w:val="0"/>
      <w:marTop w:val="0"/>
      <w:marBottom w:val="0"/>
      <w:divBdr>
        <w:top w:val="none" w:sz="0" w:space="0" w:color="auto"/>
        <w:left w:val="none" w:sz="0" w:space="0" w:color="auto"/>
        <w:bottom w:val="none" w:sz="0" w:space="0" w:color="auto"/>
        <w:right w:val="none" w:sz="0" w:space="0" w:color="auto"/>
      </w:divBdr>
    </w:div>
    <w:div w:id="543441781">
      <w:bodyDiv w:val="1"/>
      <w:marLeft w:val="0"/>
      <w:marRight w:val="0"/>
      <w:marTop w:val="0"/>
      <w:marBottom w:val="0"/>
      <w:divBdr>
        <w:top w:val="none" w:sz="0" w:space="0" w:color="auto"/>
        <w:left w:val="none" w:sz="0" w:space="0" w:color="auto"/>
        <w:bottom w:val="none" w:sz="0" w:space="0" w:color="auto"/>
        <w:right w:val="none" w:sz="0" w:space="0" w:color="auto"/>
      </w:divBdr>
    </w:div>
    <w:div w:id="1085568270">
      <w:bodyDiv w:val="1"/>
      <w:marLeft w:val="0"/>
      <w:marRight w:val="0"/>
      <w:marTop w:val="0"/>
      <w:marBottom w:val="0"/>
      <w:divBdr>
        <w:top w:val="none" w:sz="0" w:space="0" w:color="auto"/>
        <w:left w:val="none" w:sz="0" w:space="0" w:color="auto"/>
        <w:bottom w:val="none" w:sz="0" w:space="0" w:color="auto"/>
        <w:right w:val="none" w:sz="0" w:space="0" w:color="auto"/>
      </w:divBdr>
    </w:div>
    <w:div w:id="142861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https://t.emailupdates.cdc.gov/r/?id=h8717207c,1aff2203,1b00f782&amp;e=QUNTVHJhY2tpbmdJRD1ETTEyMDg2NC1VU0NEQ18xMDUyJkFDU1RyYWNraW5nTGFiZWw9Q09DQSUyME5vdyUzQSUyMFN0YXklMjBBbGVydCUyMGZvciUyME1lYXNsZXMlMjBDYXNlcyUyMA&amp;s=-F9Rbjtw9rH-ErlX-VfoPhjskyVSfofKknADsYEeOt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t.emailupdates.cdc.gov/r/?id=h8717207c,1aff2203,1b00f784&amp;e=QUNTVHJhY2tpbmdJRD1ETTEyMDg2NC1VU0NEQ18xMDUyJkFDU1RyYWNraW5nTGFiZWw9Q09DQSUyME5vdyUzQSUyMFN0YXklMjBBbGVydCUyMGZvciUyME1lYXNsZXMlMjBDYXNlcyUyMA&amp;s=eqTnOtKlQLclwHsp670r8P_mGVNrEBBwBCJ22_0mBPE" TargetMode="External"/><Relationship Id="rId2" Type="http://schemas.openxmlformats.org/officeDocument/2006/relationships/customXml" Target="../customXml/item2.xml"/><Relationship Id="rId16" Type="http://schemas.openxmlformats.org/officeDocument/2006/relationships/hyperlink" Target="https://t.emailupdates.cdc.gov/r/?id=h8717207c,1aff2203,1b00f781&amp;e=QUNTVHJhY2tpbmdJRD1ETTEyMDg2NC1VU0NEQ18xMDUyJkFDU1RyYWNraW5nTGFiZWw9Q09DQSUyME5vdyUzQSUyMFN0YXklMjBBbGVydCUyMGZvciUyME1lYXNsZXMlMjBDYXNlcyUyMA&amp;s=Yk80DJbEixpuaZwAAOfujA6lunTqsXvFBMb-MHtQNfc"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eg"/><Relationship Id="rId5" Type="http://schemas.openxmlformats.org/officeDocument/2006/relationships/styles" Target="styles.xml"/><Relationship Id="rId15" Type="http://schemas.openxmlformats.org/officeDocument/2006/relationships/hyperlink" Target="https://www.webmd.com/covid/coronavirus-strains" TargetMode="External"/><Relationship Id="rId10" Type="http://schemas.openxmlformats.org/officeDocument/2006/relationships/image" Target="media/image1.jpeg"/><Relationship Id="rId19" Type="http://schemas.openxmlformats.org/officeDocument/2006/relationships/hyperlink" Target="https://t.emailupdates.cdc.gov/r/?id=h8717207c,1aff2203,1b00f783&amp;e=QUNTVHJhY2tpbmdJRD1ETTEyMDg2NC1VU0NEQ18xMDUyJkFDU1RyYWNraW5nTGFiZWw9Q09DQSUyME5vdyUzQSUyMFN0YXklMjBBbGVydCUyMGZvciUyME1lYXNsZXMlMjBDYXNlcyUyMA&amp;s=4FfWDjdo-xbPNZNpjjOk1VhAj1ZKSTL-XSsYE5AvFF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CD21A59E2E124D921613BD856A1537" ma:contentTypeVersion="14" ma:contentTypeDescription="Create a new document." ma:contentTypeScope="" ma:versionID="2e6d5d3f628f568782326744952e13ee">
  <xsd:schema xmlns:xsd="http://www.w3.org/2001/XMLSchema" xmlns:xs="http://www.w3.org/2001/XMLSchema" xmlns:p="http://schemas.microsoft.com/office/2006/metadata/properties" xmlns:ns2="3dae6e2d-b51a-4a08-8ef0-ac59c8cba680" xmlns:ns3="6dbe7f67-bb7d-45bf-af6b-a07c4b8ab767" targetNamespace="http://schemas.microsoft.com/office/2006/metadata/properties" ma:root="true" ma:fieldsID="0acc07e9a70a1eeb9c67b5e2be4e3f06" ns2:_="" ns3:_="">
    <xsd:import namespace="3dae6e2d-b51a-4a08-8ef0-ac59c8cba680"/>
    <xsd:import namespace="6dbe7f67-bb7d-45bf-af6b-a07c4b8ab7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e6e2d-b51a-4a08-8ef0-ac59c8cba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13bb73f-e2d2-482b-8e61-3bf6a9fa62f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be7f67-bb7d-45bf-af6b-a07c4b8ab7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992c138-d9d8-44ca-a7f6-f0840f05f5a0}" ma:internalName="TaxCatchAll" ma:showField="CatchAllData" ma:web="6dbe7f67-bb7d-45bf-af6b-a07c4b8ab7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be7f67-bb7d-45bf-af6b-a07c4b8ab767" xsi:nil="true"/>
    <lcf76f155ced4ddcb4097134ff3c332f xmlns="3dae6e2d-b51a-4a08-8ef0-ac59c8cba6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C20BDF-89BD-443B-8A5A-4E4AB9286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e6e2d-b51a-4a08-8ef0-ac59c8cba680"/>
    <ds:schemaRef ds:uri="6dbe7f67-bb7d-45bf-af6b-a07c4b8ab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3F7F28-DB0F-4412-9097-72207E3CAFF4}">
  <ds:schemaRefs>
    <ds:schemaRef ds:uri="http://schemas.microsoft.com/office/2006/metadata/properties"/>
    <ds:schemaRef ds:uri="http://schemas.microsoft.com/office/infopath/2007/PartnerControls"/>
    <ds:schemaRef ds:uri="http://schemas.microsoft.com/sharepoint/v3"/>
    <ds:schemaRef ds:uri="6dbe7f67-bb7d-45bf-af6b-a07c4b8ab767"/>
    <ds:schemaRef ds:uri="3dae6e2d-b51a-4a08-8ef0-ac59c8cba680"/>
  </ds:schemaRefs>
</ds:datastoreItem>
</file>

<file path=customXml/itemProps3.xml><?xml version="1.0" encoding="utf-8"?>
<ds:datastoreItem xmlns:ds="http://schemas.openxmlformats.org/officeDocument/2006/customXml" ds:itemID="{85FBF396-49BC-4D40-8990-B1381C182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2088</Words>
  <Characters>11906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Shrader</dc:creator>
  <cp:keywords/>
  <dc:description/>
  <cp:lastModifiedBy>Brianna Anderson</cp:lastModifiedBy>
  <cp:revision>2</cp:revision>
  <cp:lastPrinted>2020-09-01T22:07:00Z</cp:lastPrinted>
  <dcterms:created xsi:type="dcterms:W3CDTF">2024-04-18T16:57:00Z</dcterms:created>
  <dcterms:modified xsi:type="dcterms:W3CDTF">2024-04-18T16:57:00Z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0x0101007FCD21A59E2E124D921613BD856A1537</vt:lpwstr>
  </property>
</Properties>
</file>